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4E762F" w14:textId="77777777" w:rsidR="00AC6338" w:rsidRDefault="00D3389E">
      <w:pPr>
        <w:jc w:val="center"/>
        <w:rPr>
          <w:b/>
          <w:sz w:val="24"/>
          <w:szCs w:val="24"/>
        </w:rPr>
      </w:pPr>
      <w:bookmarkStart w:id="0" w:name="_heading=h.2s8eyo1" w:colFirst="0" w:colLast="0"/>
      <w:bookmarkEnd w:id="0"/>
      <w:r>
        <w:rPr>
          <w:b/>
          <w:sz w:val="24"/>
          <w:szCs w:val="24"/>
        </w:rPr>
        <w:t>ACTIVITY: RNAi – making science-informed responses</w:t>
      </w:r>
    </w:p>
    <w:p w14:paraId="194E7630" w14:textId="77777777" w:rsidR="00AC6338" w:rsidRDefault="00AC6338">
      <w:pPr>
        <w:rPr>
          <w:color w:val="FF0000"/>
        </w:rPr>
      </w:pPr>
    </w:p>
    <w:p w14:paraId="194E7631" w14:textId="77777777" w:rsidR="00AC6338" w:rsidRDefault="00D3389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194E7632" w14:textId="77777777" w:rsidR="00AC6338" w:rsidRDefault="00AC6338">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94E7633" w14:textId="77777777" w:rsidR="00AC6338" w:rsidRDefault="00D3389E">
      <w:pPr>
        <w:pBdr>
          <w:top w:val="single" w:sz="4" w:space="1" w:color="000000"/>
          <w:left w:val="single" w:sz="4" w:space="4" w:color="000000"/>
          <w:bottom w:val="single" w:sz="4" w:space="1" w:color="000000"/>
          <w:right w:val="single" w:sz="4" w:space="4" w:color="000000"/>
        </w:pBdr>
      </w:pPr>
      <w:r>
        <w:t>In this activity, students use a variety of resources to consider personal, societal and science perspectives and make a science-informed response to the use of RNAi as a means of pest control.</w:t>
      </w:r>
    </w:p>
    <w:p w14:paraId="194E7634" w14:textId="77777777" w:rsidR="00AC6338" w:rsidRDefault="00AC6338">
      <w:pPr>
        <w:pBdr>
          <w:top w:val="single" w:sz="4" w:space="1" w:color="000000"/>
          <w:left w:val="single" w:sz="4" w:space="4" w:color="000000"/>
          <w:bottom w:val="single" w:sz="4" w:space="1" w:color="000000"/>
          <w:right w:val="single" w:sz="4" w:space="4" w:color="000000"/>
        </w:pBdr>
        <w:rPr>
          <w:b/>
        </w:rPr>
      </w:pPr>
    </w:p>
    <w:p w14:paraId="194E7635" w14:textId="77777777" w:rsidR="00AC6338" w:rsidRDefault="00D3389E">
      <w:pPr>
        <w:pBdr>
          <w:top w:val="single" w:sz="4" w:space="1" w:color="000000"/>
          <w:left w:val="single" w:sz="4" w:space="4" w:color="000000"/>
          <w:bottom w:val="single" w:sz="4" w:space="1" w:color="000000"/>
          <w:right w:val="single" w:sz="4" w:space="4" w:color="000000"/>
        </w:pBdr>
      </w:pPr>
      <w:r>
        <w:t>By the end of this activity, students should be able to:</w:t>
      </w:r>
    </w:p>
    <w:p w14:paraId="194E7636" w14:textId="0F964AC8" w:rsidR="00AC6338" w:rsidRDefault="00D3389E">
      <w:pPr>
        <w:numPr>
          <w:ilvl w:val="0"/>
          <w:numId w:val="18"/>
        </w:numPr>
        <w:pBdr>
          <w:top w:val="single" w:sz="4" w:space="1" w:color="000000"/>
          <w:left w:val="single" w:sz="4" w:space="4" w:color="000000"/>
          <w:bottom w:val="single" w:sz="4" w:space="1" w:color="000000"/>
          <w:right w:val="single" w:sz="4" w:space="4" w:color="000000"/>
        </w:pBdr>
      </w:pPr>
      <w:r>
        <w:t xml:space="preserve">use resources to aid understanding of the basic biology that underpins genetic </w:t>
      </w:r>
      <w:r w:rsidR="00CC1892">
        <w:t>technologies</w:t>
      </w:r>
    </w:p>
    <w:p w14:paraId="194E7637" w14:textId="77777777" w:rsidR="00AC6338" w:rsidRDefault="00D3389E">
      <w:pPr>
        <w:numPr>
          <w:ilvl w:val="0"/>
          <w:numId w:val="18"/>
        </w:numPr>
        <w:pBdr>
          <w:top w:val="single" w:sz="4" w:space="1" w:color="000000"/>
          <w:left w:val="single" w:sz="4" w:space="4" w:color="000000"/>
          <w:bottom w:val="single" w:sz="4" w:space="1" w:color="000000"/>
          <w:right w:val="single" w:sz="4" w:space="4" w:color="000000"/>
        </w:pBdr>
      </w:pPr>
      <w:r>
        <w:t>use resources to aid understanding of the threats posed by varroa and myrtle rust</w:t>
      </w:r>
    </w:p>
    <w:p w14:paraId="194E7638" w14:textId="56397EFB" w:rsidR="00AC6338" w:rsidRDefault="00D3389E">
      <w:pPr>
        <w:numPr>
          <w:ilvl w:val="0"/>
          <w:numId w:val="18"/>
        </w:numPr>
        <w:pBdr>
          <w:top w:val="single" w:sz="4" w:space="1" w:color="000000"/>
          <w:left w:val="single" w:sz="4" w:space="4" w:color="000000"/>
          <w:bottom w:val="single" w:sz="4" w:space="1" w:color="000000"/>
          <w:right w:val="single" w:sz="4" w:space="4" w:color="000000"/>
        </w:pBdr>
      </w:pPr>
      <w:r>
        <w:t xml:space="preserve">use resources to aid understanding of te ao Māori perspectives regarding </w:t>
      </w:r>
      <w:r w:rsidR="00CC1892">
        <w:t>gene technologies for pest control</w:t>
      </w:r>
    </w:p>
    <w:p w14:paraId="194E7639" w14:textId="4378976B" w:rsidR="00AC6338" w:rsidRDefault="00D3389E">
      <w:pPr>
        <w:numPr>
          <w:ilvl w:val="0"/>
          <w:numId w:val="18"/>
        </w:numPr>
        <w:pBdr>
          <w:top w:val="single" w:sz="4" w:space="1" w:color="000000"/>
          <w:left w:val="single" w:sz="4" w:space="4" w:color="000000"/>
          <w:bottom w:val="single" w:sz="4" w:space="1" w:color="000000"/>
          <w:right w:val="single" w:sz="4" w:space="4" w:color="000000"/>
        </w:pBdr>
      </w:pPr>
      <w:r>
        <w:t>use resources to aid understanding of public perspectives of the benefits and risks associated wit</w:t>
      </w:r>
      <w:r w:rsidR="00CC1892">
        <w:t>h gene technologies</w:t>
      </w:r>
    </w:p>
    <w:p w14:paraId="194E763A" w14:textId="77777777" w:rsidR="00AC6338" w:rsidRDefault="00D3389E">
      <w:pPr>
        <w:numPr>
          <w:ilvl w:val="0"/>
          <w:numId w:val="18"/>
        </w:numPr>
        <w:pBdr>
          <w:top w:val="single" w:sz="4" w:space="1" w:color="000000"/>
          <w:left w:val="single" w:sz="4" w:space="4" w:color="000000"/>
          <w:bottom w:val="single" w:sz="4" w:space="1" w:color="000000"/>
          <w:right w:val="single" w:sz="4" w:space="4" w:color="000000"/>
        </w:pBdr>
      </w:pPr>
      <w:r>
        <w:t>use concept cartoons to consider aspects of genetic modification and RNAi</w:t>
      </w:r>
    </w:p>
    <w:p w14:paraId="194E763B" w14:textId="77777777" w:rsidR="00AC6338" w:rsidRDefault="00D3389E">
      <w:pPr>
        <w:numPr>
          <w:ilvl w:val="0"/>
          <w:numId w:val="18"/>
        </w:numPr>
        <w:pBdr>
          <w:top w:val="single" w:sz="4" w:space="1" w:color="000000"/>
          <w:left w:val="single" w:sz="4" w:space="4" w:color="000000"/>
          <w:bottom w:val="single" w:sz="4" w:space="1" w:color="000000"/>
          <w:right w:val="single" w:sz="4" w:space="4" w:color="000000"/>
        </w:pBdr>
      </w:pPr>
      <w:r>
        <w:t xml:space="preserve">use concept cartoons to justify/position their ideas on the issues  </w:t>
      </w:r>
    </w:p>
    <w:p w14:paraId="194E763C" w14:textId="77777777" w:rsidR="00AC6338" w:rsidRDefault="00D3389E">
      <w:pPr>
        <w:numPr>
          <w:ilvl w:val="0"/>
          <w:numId w:val="18"/>
        </w:numPr>
        <w:pBdr>
          <w:top w:val="single" w:sz="4" w:space="1" w:color="000000"/>
          <w:left w:val="single" w:sz="4" w:space="4" w:color="000000"/>
          <w:bottom w:val="single" w:sz="4" w:space="1" w:color="000000"/>
          <w:right w:val="single" w:sz="4" w:space="4" w:color="000000"/>
        </w:pBdr>
      </w:pPr>
      <w:r>
        <w:t>discuss/create a science-informed response to the potential use of RNAi as a means of pest control.</w:t>
      </w:r>
    </w:p>
    <w:p w14:paraId="194E763D" w14:textId="77777777" w:rsidR="00AC6338" w:rsidRDefault="00AC6338"/>
    <w:p w14:paraId="194E763E" w14:textId="77777777" w:rsidR="00AC6338" w:rsidRDefault="00D3389E">
      <w:pPr>
        <w:rPr>
          <w:b/>
        </w:rPr>
      </w:pPr>
      <w:r>
        <w:rPr>
          <w:b/>
        </w:rPr>
        <w:t>For teachers</w:t>
      </w:r>
    </w:p>
    <w:p w14:paraId="194E763F" w14:textId="77777777" w:rsidR="00AC6338" w:rsidRDefault="00AC6338">
      <w:pPr>
        <w:rPr>
          <w:b/>
        </w:rPr>
      </w:pPr>
    </w:p>
    <w:p w14:paraId="194E7640" w14:textId="77777777" w:rsidR="00AC6338" w:rsidRDefault="00D3389E">
      <w:pPr>
        <w:rPr>
          <w:b/>
          <w:i/>
        </w:rPr>
      </w:pPr>
      <w:r>
        <w:rPr>
          <w:b/>
          <w:i/>
        </w:rPr>
        <w:t>Introduction/background</w:t>
      </w:r>
    </w:p>
    <w:p w14:paraId="194E7641" w14:textId="77777777" w:rsidR="00AC6338" w:rsidRDefault="00AC6338"/>
    <w:p w14:paraId="194E7642" w14:textId="77777777" w:rsidR="00AC6338" w:rsidRDefault="00D3389E">
      <w:r>
        <w:t>Genetic modification (GM) – also known as genetic engineering (GE) – is any process that changes the genetic material of an organism (plant, animal, bacteria or virus) in order to make it capable of producing new substances or performing new or different functions. Gene editing is using genetic technologies to add, remove or alter genetic information in specific places.</w:t>
      </w:r>
    </w:p>
    <w:p w14:paraId="194E7643" w14:textId="77777777" w:rsidR="00AC6338" w:rsidRDefault="00AC6338"/>
    <w:p w14:paraId="194E7644" w14:textId="5D6FC457" w:rsidR="00AC6338" w:rsidRDefault="00000000">
      <w:hyperlink r:id="rId8">
        <w:r w:rsidR="00D3389E">
          <w:rPr>
            <w:color w:val="1155CC"/>
            <w:u w:val="single"/>
          </w:rPr>
          <w:t>RNA interference (RNAi)</w:t>
        </w:r>
      </w:hyperlink>
      <w:r w:rsidR="00D3389E">
        <w:t xml:space="preserve"> is a biological process in which RNA inhibits gene expression. It is a natural process in cells, often in response to viral double-stranded RNA. RNAi was hailed by the journal </w:t>
      </w:r>
      <w:r w:rsidR="00D3389E">
        <w:rPr>
          <w:i/>
        </w:rPr>
        <w:t>Science</w:t>
      </w:r>
      <w:r w:rsidR="00D3389E">
        <w:t xml:space="preserve"> as the “Breakthrough of the Year” in 2002, and the scientists who discovered it won the Nobel Prize in Medicine or Physiology in 2006. </w:t>
      </w:r>
    </w:p>
    <w:p w14:paraId="194E7645" w14:textId="77777777" w:rsidR="00AC6338" w:rsidRDefault="00AC6338"/>
    <w:p w14:paraId="194E7646" w14:textId="77777777" w:rsidR="00AC6338" w:rsidRDefault="00D3389E">
      <w:r>
        <w:t>Since its discovery, much of the science that underpins RNAi has become well established.</w:t>
      </w:r>
    </w:p>
    <w:p w14:paraId="194E7647" w14:textId="77777777" w:rsidR="00AC6338" w:rsidRDefault="00AC6338"/>
    <w:p w14:paraId="194E7648" w14:textId="77777777" w:rsidR="00AC6338" w:rsidRDefault="00D3389E">
      <w:r>
        <w:t xml:space="preserve">As a biotechnology tool, RNA interference ‘silences’ a gene by using a synthetic RNA sequence to prevent translation. While RNAi is used widely to study gene function, in medical therapeutics and in agriculture, this activity looks specifically at pest control. </w:t>
      </w:r>
    </w:p>
    <w:p w14:paraId="194E7649" w14:textId="77777777" w:rsidR="00AC6338" w:rsidRDefault="00AC6338"/>
    <w:p w14:paraId="194E764A" w14:textId="77777777" w:rsidR="00AC6338" w:rsidRDefault="00D3389E">
      <w:r>
        <w:t xml:space="preserve">The articles </w:t>
      </w:r>
      <w:hyperlink r:id="rId9">
        <w:r>
          <w:rPr>
            <w:color w:val="1155CC"/>
            <w:u w:val="single"/>
          </w:rPr>
          <w:t>Using RNAi to control varroa mites</w:t>
        </w:r>
      </w:hyperlink>
      <w:r>
        <w:t xml:space="preserve"> and </w:t>
      </w:r>
      <w:hyperlink r:id="rId10">
        <w:r>
          <w:rPr>
            <w:color w:val="1155CC"/>
            <w:u w:val="single"/>
          </w:rPr>
          <w:t>Using RNAi to combat myrtle rust</w:t>
        </w:r>
      </w:hyperlink>
      <w:r>
        <w:t xml:space="preserve"> briefly explain the issues, and the benefits and limitations of using RNAi.</w:t>
      </w:r>
    </w:p>
    <w:p w14:paraId="194E764B" w14:textId="77777777" w:rsidR="00AC6338" w:rsidRDefault="00AC6338"/>
    <w:p w14:paraId="194E764C" w14:textId="77777777" w:rsidR="00AC6338" w:rsidRDefault="00D3389E">
      <w:pPr>
        <w:rPr>
          <w:b/>
          <w:i/>
        </w:rPr>
      </w:pPr>
      <w:r>
        <w:rPr>
          <w:b/>
          <w:i/>
        </w:rPr>
        <w:t>Genetic modification in Aotearoa</w:t>
      </w:r>
    </w:p>
    <w:p w14:paraId="194E764D" w14:textId="77777777" w:rsidR="00AC6338" w:rsidRDefault="00AC6338"/>
    <w:p w14:paraId="194E764E" w14:textId="77777777" w:rsidR="00AC6338" w:rsidRDefault="00D3389E">
      <w:r>
        <w:t xml:space="preserve">New Zealand’s Ministry for the Environment notes that the country’s laws and regulations governing GM are among the most rigorous in the world. Many date back to 1996–2001. </w:t>
      </w:r>
    </w:p>
    <w:p w14:paraId="194E764F" w14:textId="77777777" w:rsidR="00AC6338" w:rsidRDefault="00AC6338"/>
    <w:p w14:paraId="194E7650" w14:textId="77777777" w:rsidR="00AC6338" w:rsidRDefault="00D3389E">
      <w:r>
        <w:t xml:space="preserve">In 2019, a Royal Society Te Apārangi expert panel concluded: “It’s time for an overhaul of the regulations. There’s an urgent need for wide discussion and debate about gene editing within and across all New Zealand communities.” </w:t>
      </w:r>
    </w:p>
    <w:p w14:paraId="194E7651" w14:textId="77777777" w:rsidR="00AC6338" w:rsidRDefault="00AC6338"/>
    <w:p w14:paraId="194E7652" w14:textId="77777777" w:rsidR="00AC6338" w:rsidRDefault="00D3389E">
      <w:r>
        <w:t>The panel also noted, “New Zealand needs to have its own perspective given our unique cultural heritage and environment, and the special challenges we face in maintaining our biodiversity.”</w:t>
      </w:r>
    </w:p>
    <w:p w14:paraId="4D06EF74" w14:textId="77777777" w:rsidR="00C664D4" w:rsidRDefault="00C664D4"/>
    <w:p w14:paraId="194E7653" w14:textId="77777777" w:rsidR="00AC6338" w:rsidRDefault="00AC6338"/>
    <w:p w14:paraId="194E7654" w14:textId="77777777" w:rsidR="00AC6338" w:rsidRDefault="00D3389E">
      <w:pPr>
        <w:rPr>
          <w:b/>
          <w:i/>
        </w:rPr>
      </w:pPr>
      <w:r>
        <w:rPr>
          <w:b/>
          <w:i/>
        </w:rPr>
        <w:lastRenderedPageBreak/>
        <w:t>Making a science-informed response to a socio-scientific issue</w:t>
      </w:r>
    </w:p>
    <w:p w14:paraId="194E7655" w14:textId="77777777" w:rsidR="00AC6338" w:rsidRDefault="00AC6338"/>
    <w:p w14:paraId="194E7656" w14:textId="77777777" w:rsidR="00AC6338" w:rsidRDefault="00D3389E">
      <w:r>
        <w:t>Socio-scientific issues promote multiple learning opportunities. They:</w:t>
      </w:r>
    </w:p>
    <w:p w14:paraId="194E7657" w14:textId="77777777" w:rsidR="00AC6338" w:rsidRDefault="00D3389E">
      <w:pPr>
        <w:numPr>
          <w:ilvl w:val="0"/>
          <w:numId w:val="16"/>
        </w:numPr>
      </w:pPr>
      <w:r>
        <w:t>enable students to build and consolidate their knowledge of biological processes within an authentic context</w:t>
      </w:r>
    </w:p>
    <w:p w14:paraId="194E7658" w14:textId="77777777" w:rsidR="00AC6338" w:rsidRDefault="00D3389E">
      <w:pPr>
        <w:numPr>
          <w:ilvl w:val="0"/>
          <w:numId w:val="16"/>
        </w:numPr>
      </w:pPr>
      <w:r>
        <w:t>encourage students to consider a range of perspectives, including their own</w:t>
      </w:r>
    </w:p>
    <w:p w14:paraId="194E7659" w14:textId="77777777" w:rsidR="00AC6338" w:rsidRDefault="00D3389E">
      <w:pPr>
        <w:numPr>
          <w:ilvl w:val="0"/>
          <w:numId w:val="16"/>
        </w:numPr>
      </w:pPr>
      <w:r>
        <w:t>help students develop their critical-thinking and problem-solving skills</w:t>
      </w:r>
    </w:p>
    <w:p w14:paraId="194E765A" w14:textId="77777777" w:rsidR="00AC6338" w:rsidRDefault="00D3389E">
      <w:pPr>
        <w:numPr>
          <w:ilvl w:val="0"/>
          <w:numId w:val="16"/>
        </w:numPr>
      </w:pPr>
      <w:r>
        <w:t>help students consider how the values and needs of a society influence both scientific endeavours and public policies</w:t>
      </w:r>
    </w:p>
    <w:p w14:paraId="194E765B" w14:textId="77777777" w:rsidR="00AC6338" w:rsidRDefault="00D3389E">
      <w:pPr>
        <w:numPr>
          <w:ilvl w:val="0"/>
          <w:numId w:val="16"/>
        </w:numPr>
      </w:pPr>
      <w:r>
        <w:t>provide an opportunity for students to gather and synthesise relevant information to make an informed response</w:t>
      </w:r>
    </w:p>
    <w:p w14:paraId="194E765C" w14:textId="77777777" w:rsidR="00AC6338" w:rsidRDefault="00D3389E">
      <w:pPr>
        <w:numPr>
          <w:ilvl w:val="0"/>
          <w:numId w:val="16"/>
        </w:numPr>
      </w:pPr>
      <w:r>
        <w:t>encourage students to act on this information.</w:t>
      </w:r>
    </w:p>
    <w:p w14:paraId="194E765D" w14:textId="77777777" w:rsidR="00AC6338" w:rsidRDefault="00AC6338"/>
    <w:p w14:paraId="194E765E" w14:textId="77777777" w:rsidR="00AC6338" w:rsidRDefault="00D3389E">
      <w:pPr>
        <w:rPr>
          <w:b/>
          <w:i/>
        </w:rPr>
      </w:pPr>
      <w:r>
        <w:rPr>
          <w:b/>
          <w:i/>
        </w:rPr>
        <w:t>What you need</w:t>
      </w:r>
    </w:p>
    <w:p w14:paraId="194E765F" w14:textId="77777777" w:rsidR="00AC6338" w:rsidRDefault="00AC6338"/>
    <w:p w14:paraId="194E7660" w14:textId="77777777" w:rsidR="00AC6338" w:rsidRDefault="00000000">
      <w:pPr>
        <w:numPr>
          <w:ilvl w:val="0"/>
          <w:numId w:val="6"/>
        </w:numPr>
      </w:pPr>
      <w:hyperlink w:anchor="bookmark=id.17dp8vu">
        <w:r w:rsidR="00D3389E">
          <w:rPr>
            <w:color w:val="1155CC"/>
            <w:u w:val="single"/>
          </w:rPr>
          <w:t>Student handout: Concept cartoons</w:t>
        </w:r>
      </w:hyperlink>
    </w:p>
    <w:p w14:paraId="194E7661" w14:textId="77777777" w:rsidR="00AC6338" w:rsidRDefault="00000000">
      <w:pPr>
        <w:numPr>
          <w:ilvl w:val="0"/>
          <w:numId w:val="6"/>
        </w:numPr>
      </w:pPr>
      <w:hyperlink w:anchor="bookmark=id.3rdcrjn">
        <w:r w:rsidR="00D3389E">
          <w:rPr>
            <w:color w:val="1155CC"/>
            <w:u w:val="single"/>
          </w:rPr>
          <w:t>Student handout: Statements to begin a discussion</w:t>
        </w:r>
      </w:hyperlink>
    </w:p>
    <w:p w14:paraId="194E7662" w14:textId="77777777" w:rsidR="00AC6338" w:rsidRDefault="00000000">
      <w:pPr>
        <w:numPr>
          <w:ilvl w:val="0"/>
          <w:numId w:val="6"/>
        </w:numPr>
      </w:pPr>
      <w:hyperlink w:anchor="bookmark=id.26in1rg">
        <w:r w:rsidR="00D3389E">
          <w:rPr>
            <w:color w:val="1155CC"/>
            <w:u w:val="single"/>
          </w:rPr>
          <w:t>Student handout: Suggested resources</w:t>
        </w:r>
      </w:hyperlink>
    </w:p>
    <w:p w14:paraId="194E7663" w14:textId="77777777" w:rsidR="00AC6338" w:rsidRDefault="00AC6338"/>
    <w:p w14:paraId="194E7664" w14:textId="77777777" w:rsidR="00AC6338" w:rsidRDefault="00D3389E">
      <w:pPr>
        <w:rPr>
          <w:b/>
          <w:i/>
        </w:rPr>
      </w:pPr>
      <w:r>
        <w:rPr>
          <w:b/>
          <w:i/>
        </w:rPr>
        <w:t xml:space="preserve">Teaching suggestions </w:t>
      </w:r>
    </w:p>
    <w:p w14:paraId="194E7665" w14:textId="77777777" w:rsidR="00AC6338" w:rsidRDefault="00AC6338"/>
    <w:p w14:paraId="194E7666" w14:textId="77777777" w:rsidR="00AC6338" w:rsidRDefault="00D3389E">
      <w:r>
        <w:t xml:space="preserve">This activity allows educators to take a variety of pathways to meet student needs at different curriculum levels. </w:t>
      </w:r>
    </w:p>
    <w:p w14:paraId="194E7667" w14:textId="77777777" w:rsidR="00AC6338" w:rsidRDefault="00AC6338"/>
    <w:p w14:paraId="194E7668" w14:textId="2DD13284" w:rsidR="00AC6338" w:rsidRDefault="00D3389E">
      <w:pPr>
        <w:rPr>
          <w:rFonts w:ascii="Arial" w:eastAsia="Arial" w:hAnsi="Arial" w:cs="Arial"/>
          <w:sz w:val="27"/>
          <w:szCs w:val="27"/>
        </w:rPr>
      </w:pPr>
      <w:r>
        <w:t xml:space="preserve">The </w:t>
      </w:r>
      <w:hyperlink w:anchor="bookmark=id.17dp8vu">
        <w:r>
          <w:rPr>
            <w:color w:val="1155CC"/>
            <w:u w:val="single"/>
          </w:rPr>
          <w:t>concept cartoons</w:t>
        </w:r>
      </w:hyperlink>
      <w:r>
        <w:t xml:space="preserve"> are designed to help students consider a range of viewpoints, justify their own ideas, clarify their thinking and consider others’ ideas. After discussion and/or research, students can use blank templates to create their own concept cartoons. The article </w:t>
      </w:r>
      <w:hyperlink r:id="rId11">
        <w:r w:rsidR="004B19B0">
          <w:rPr>
            <w:color w:val="1155CC"/>
            <w:u w:val="single"/>
          </w:rPr>
          <w:t>Using concept cartoons</w:t>
        </w:r>
      </w:hyperlink>
      <w:r w:rsidR="00D50C22">
        <w:t xml:space="preserve"> p</w:t>
      </w:r>
      <w:r>
        <w:t>rovides information about pedagogical methodologies and approaches when using concept cartoons.</w:t>
      </w:r>
    </w:p>
    <w:p w14:paraId="194E7669" w14:textId="77777777" w:rsidR="00AC6338" w:rsidRDefault="00AC6338"/>
    <w:p w14:paraId="194E766A" w14:textId="77777777" w:rsidR="00AC6338" w:rsidRDefault="00D3389E">
      <w:r>
        <w:t xml:space="preserve">The </w:t>
      </w:r>
      <w:hyperlink w:anchor="bookmark=id.3rdcrjn">
        <w:r>
          <w:rPr>
            <w:color w:val="1155CC"/>
            <w:u w:val="single"/>
          </w:rPr>
          <w:t>statements to begin a discussion</w:t>
        </w:r>
      </w:hyperlink>
      <w:r>
        <w:t xml:space="preserve"> also help students consider a range of viewpoints. Encourage students to use some of the </w:t>
      </w:r>
      <w:hyperlink w:anchor="bookmark=id.26in1rg">
        <w:r>
          <w:rPr>
            <w:color w:val="1155CC"/>
            <w:u w:val="single"/>
          </w:rPr>
          <w:t>suggested resources</w:t>
        </w:r>
      </w:hyperlink>
      <w:r>
        <w:t xml:space="preserve"> to justify the statements or to find statements that reflect their personal views. The article </w:t>
      </w:r>
      <w:hyperlink r:id="rId12">
        <w:r>
          <w:rPr>
            <w:color w:val="1155CC"/>
            <w:u w:val="single"/>
          </w:rPr>
          <w:t>Managing classroom discussions</w:t>
        </w:r>
      </w:hyperlink>
      <w:r>
        <w:t xml:space="preserve"> has tips on facilitating discussions in a positive, safe atmosphere.</w:t>
      </w:r>
    </w:p>
    <w:p w14:paraId="194E766B" w14:textId="77777777" w:rsidR="00AC6338" w:rsidRDefault="00AC6338"/>
    <w:p w14:paraId="194E766C" w14:textId="77777777" w:rsidR="00AC6338" w:rsidRDefault="00D3389E">
      <w:r>
        <w:t xml:space="preserve">Use the </w:t>
      </w:r>
      <w:hyperlink w:anchor="bookmark=id.26in1rg">
        <w:r>
          <w:rPr>
            <w:color w:val="1155CC"/>
            <w:u w:val="single"/>
          </w:rPr>
          <w:t>suggested resources</w:t>
        </w:r>
      </w:hyperlink>
      <w:r>
        <w:t xml:space="preserve"> to support students with: </w:t>
      </w:r>
    </w:p>
    <w:p w14:paraId="194E766D" w14:textId="77777777" w:rsidR="00AC6338" w:rsidRDefault="00D3389E">
      <w:pPr>
        <w:numPr>
          <w:ilvl w:val="0"/>
          <w:numId w:val="22"/>
        </w:numPr>
      </w:pPr>
      <w:r>
        <w:t xml:space="preserve">NCEA level 1.1 </w:t>
      </w:r>
      <w:hyperlink r:id="rId13">
        <w:r>
          <w:rPr>
            <w:color w:val="1155CC"/>
            <w:u w:val="single"/>
          </w:rPr>
          <w:t>Demonstrate understanding of a science-informed response to a local issue</w:t>
        </w:r>
      </w:hyperlink>
      <w:r>
        <w:t xml:space="preserve"> (pest control)</w:t>
      </w:r>
    </w:p>
    <w:p w14:paraId="194E766E" w14:textId="77777777" w:rsidR="00AC6338" w:rsidRDefault="00D3389E">
      <w:pPr>
        <w:numPr>
          <w:ilvl w:val="0"/>
          <w:numId w:val="22"/>
        </w:numPr>
      </w:pPr>
      <w:r>
        <w:t>Living World – Evolution, levels 7 and 8</w:t>
      </w:r>
    </w:p>
    <w:p w14:paraId="194E766F" w14:textId="77777777" w:rsidR="00AC6338" w:rsidRDefault="00D3389E">
      <w:pPr>
        <w:numPr>
          <w:ilvl w:val="0"/>
          <w:numId w:val="22"/>
        </w:numPr>
      </w:pPr>
      <w:r>
        <w:t>Nature of science – Participating and contributing, levels 5–8</w:t>
      </w:r>
    </w:p>
    <w:p w14:paraId="194E7670" w14:textId="77777777" w:rsidR="00AC6338" w:rsidRDefault="00D3389E">
      <w:pPr>
        <w:numPr>
          <w:ilvl w:val="0"/>
          <w:numId w:val="22"/>
        </w:numPr>
      </w:pPr>
      <w:r>
        <w:t>Te ao tangata Social sciences – Interactions change societies and environments.</w:t>
      </w:r>
    </w:p>
    <w:p w14:paraId="194E7671" w14:textId="77777777" w:rsidR="00AC6338" w:rsidRDefault="00AC6338">
      <w:pPr>
        <w:sectPr w:rsidR="00AC6338">
          <w:headerReference w:type="default" r:id="rId14"/>
          <w:footerReference w:type="default" r:id="rId15"/>
          <w:pgSz w:w="11907" w:h="16840"/>
          <w:pgMar w:top="1134" w:right="1134" w:bottom="1134" w:left="1134" w:header="465" w:footer="720" w:gutter="0"/>
          <w:pgNumType w:start="1"/>
          <w:cols w:space="720"/>
        </w:sectPr>
      </w:pPr>
    </w:p>
    <w:p w14:paraId="194E7673" w14:textId="18C5F65F" w:rsidR="00AC6338" w:rsidRDefault="00D3389E">
      <w:pPr>
        <w:rPr>
          <w:b/>
        </w:rPr>
      </w:pPr>
      <w:r>
        <w:rPr>
          <w:b/>
        </w:rPr>
        <w:lastRenderedPageBreak/>
        <w:t xml:space="preserve">For students </w:t>
      </w:r>
    </w:p>
    <w:p w14:paraId="194E7674" w14:textId="77777777" w:rsidR="00AC6338" w:rsidRDefault="00D3389E">
      <w:pPr>
        <w:rPr>
          <w:b/>
          <w:i/>
        </w:rPr>
      </w:pPr>
      <w:bookmarkStart w:id="2" w:name="bookmark=id.17dp8vu" w:colFirst="0" w:colLast="0"/>
      <w:bookmarkEnd w:id="2"/>
      <w:r>
        <w:rPr>
          <w:b/>
          <w:i/>
        </w:rPr>
        <w:t>Concept cartoons</w:t>
      </w:r>
    </w:p>
    <w:p w14:paraId="194E7676" w14:textId="0AD72D60" w:rsidR="00AC6338" w:rsidRDefault="00D3389E">
      <w:pPr>
        <w:jc w:val="center"/>
      </w:pPr>
      <w:r>
        <w:rPr>
          <w:noProof/>
        </w:rPr>
        <w:drawing>
          <wp:inline distT="0" distB="0" distL="0" distR="0" wp14:anchorId="194E76CC" wp14:editId="194E76CD">
            <wp:extent cx="7240132" cy="53640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7240132" cy="5364000"/>
                    </a:xfrm>
                    <a:prstGeom prst="rect">
                      <a:avLst/>
                    </a:prstGeom>
                    <a:ln/>
                  </pic:spPr>
                </pic:pic>
              </a:graphicData>
            </a:graphic>
          </wp:inline>
        </w:drawing>
      </w:r>
      <w:r>
        <w:br/>
      </w:r>
    </w:p>
    <w:p w14:paraId="194E7677" w14:textId="77777777" w:rsidR="00AC6338" w:rsidRDefault="00D3389E">
      <w:pPr>
        <w:jc w:val="center"/>
      </w:pPr>
      <w:r>
        <w:rPr>
          <w:noProof/>
        </w:rPr>
        <w:drawing>
          <wp:inline distT="114300" distB="114300" distL="114300" distR="114300" wp14:anchorId="194E76CE" wp14:editId="194E76CF">
            <wp:extent cx="7943516" cy="5364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7943516" cy="5364000"/>
                    </a:xfrm>
                    <a:prstGeom prst="rect">
                      <a:avLst/>
                    </a:prstGeom>
                    <a:ln/>
                  </pic:spPr>
                </pic:pic>
              </a:graphicData>
            </a:graphic>
          </wp:inline>
        </w:drawing>
      </w:r>
    </w:p>
    <w:p w14:paraId="194E7678" w14:textId="77777777" w:rsidR="00AC6338" w:rsidRDefault="00D3389E">
      <w:r>
        <w:br w:type="page"/>
      </w:r>
    </w:p>
    <w:p w14:paraId="194E767A" w14:textId="77777777" w:rsidR="00AC6338" w:rsidRDefault="00AC6338">
      <w:pPr>
        <w:jc w:val="center"/>
      </w:pPr>
    </w:p>
    <w:p w14:paraId="194E767B" w14:textId="77777777" w:rsidR="00AC6338" w:rsidRDefault="00D3389E">
      <w:pPr>
        <w:jc w:val="center"/>
      </w:pPr>
      <w:r>
        <w:rPr>
          <w:noProof/>
        </w:rPr>
        <w:drawing>
          <wp:inline distT="114300" distB="114300" distL="114300" distR="114300" wp14:anchorId="194E76D0" wp14:editId="194E76D1">
            <wp:extent cx="8176441" cy="5364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8176441" cy="5364000"/>
                    </a:xfrm>
                    <a:prstGeom prst="rect">
                      <a:avLst/>
                    </a:prstGeom>
                    <a:ln/>
                  </pic:spPr>
                </pic:pic>
              </a:graphicData>
            </a:graphic>
          </wp:inline>
        </w:drawing>
      </w:r>
      <w:r>
        <w:br w:type="page"/>
      </w:r>
    </w:p>
    <w:p w14:paraId="194E767D" w14:textId="77777777" w:rsidR="00AC6338" w:rsidRDefault="00AC6338">
      <w:pPr>
        <w:jc w:val="center"/>
      </w:pPr>
    </w:p>
    <w:p w14:paraId="194E767E" w14:textId="77777777" w:rsidR="00AC6338" w:rsidRDefault="00D3389E">
      <w:pPr>
        <w:jc w:val="center"/>
        <w:sectPr w:rsidR="00AC6338">
          <w:footerReference w:type="default" r:id="rId19"/>
          <w:pgSz w:w="16840" w:h="11907" w:orient="landscape"/>
          <w:pgMar w:top="1134" w:right="1134" w:bottom="1134" w:left="1134" w:header="465" w:footer="720" w:gutter="0"/>
          <w:cols w:space="720"/>
        </w:sectPr>
      </w:pPr>
      <w:r>
        <w:rPr>
          <w:noProof/>
        </w:rPr>
        <w:drawing>
          <wp:inline distT="114300" distB="114300" distL="114300" distR="114300" wp14:anchorId="194E76D2" wp14:editId="194E76D3">
            <wp:extent cx="8294513" cy="53640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8294513" cy="5364000"/>
                    </a:xfrm>
                    <a:prstGeom prst="rect">
                      <a:avLst/>
                    </a:prstGeom>
                    <a:ln/>
                  </pic:spPr>
                </pic:pic>
              </a:graphicData>
            </a:graphic>
          </wp:inline>
        </w:drawing>
      </w:r>
    </w:p>
    <w:p w14:paraId="194E767F" w14:textId="77777777" w:rsidR="00AC6338" w:rsidRDefault="00D3389E">
      <w:pPr>
        <w:rPr>
          <w:i/>
          <w:sz w:val="22"/>
          <w:szCs w:val="22"/>
        </w:rPr>
      </w:pPr>
      <w:bookmarkStart w:id="3" w:name="bookmark=id.3rdcrjn" w:colFirst="0" w:colLast="0"/>
      <w:bookmarkEnd w:id="3"/>
      <w:r>
        <w:rPr>
          <w:b/>
          <w:i/>
          <w:sz w:val="22"/>
          <w:szCs w:val="22"/>
        </w:rPr>
        <w:lastRenderedPageBreak/>
        <w:t>Statements to begin a discussion</w:t>
      </w:r>
    </w:p>
    <w:p w14:paraId="194E7680" w14:textId="77777777" w:rsidR="00AC6338" w:rsidRDefault="00AC6338">
      <w:pPr>
        <w:rPr>
          <w:sz w:val="22"/>
          <w:szCs w:val="22"/>
        </w:rPr>
      </w:pPr>
    </w:p>
    <w:p w14:paraId="194E7681" w14:textId="77777777" w:rsidR="00AC6338" w:rsidRDefault="00D3389E">
      <w:pPr>
        <w:rPr>
          <w:sz w:val="22"/>
          <w:szCs w:val="22"/>
        </w:rPr>
      </w:pPr>
      <w:r>
        <w:rPr>
          <w:sz w:val="22"/>
          <w:szCs w:val="22"/>
        </w:rPr>
        <w:t xml:space="preserve">RNAi was hailed by the journal </w:t>
      </w:r>
      <w:r w:rsidRPr="00CC70BE">
        <w:rPr>
          <w:i/>
          <w:iCs/>
          <w:sz w:val="22"/>
          <w:szCs w:val="22"/>
        </w:rPr>
        <w:t>Science</w:t>
      </w:r>
      <w:r>
        <w:rPr>
          <w:sz w:val="22"/>
          <w:szCs w:val="22"/>
        </w:rPr>
        <w:t xml:space="preserve"> as the “Breakthrough of the Year” in 2002, and the scientists who discovered it won the Nobel Prize in Medicine or Physiology in 2006. Since its discovery, much of the science that underpins RNAi has become well established. (Science Learning Hub Pokapū Akoranga Pūtaiao, 2023)</w:t>
      </w:r>
    </w:p>
    <w:p w14:paraId="194E7682" w14:textId="77777777" w:rsidR="00AC6338" w:rsidRDefault="00AC6338">
      <w:pPr>
        <w:rPr>
          <w:sz w:val="22"/>
          <w:szCs w:val="22"/>
        </w:rPr>
      </w:pPr>
    </w:p>
    <w:p w14:paraId="194E7683" w14:textId="77777777" w:rsidR="00AC6338" w:rsidRDefault="00D3389E">
      <w:pPr>
        <w:rPr>
          <w:sz w:val="22"/>
          <w:szCs w:val="22"/>
        </w:rPr>
      </w:pPr>
      <w:r>
        <w:rPr>
          <w:sz w:val="22"/>
          <w:szCs w:val="22"/>
        </w:rPr>
        <w:t>New Zealand’s laws and regulations governing genetic modification are among the most rigorous in the world, and strike a balance between protecting our health and environment and preserving opportunities for all types of production genetically modified and non-genetically modified. (Ministry for the Environment, 2004)</w:t>
      </w:r>
    </w:p>
    <w:p w14:paraId="194E7684" w14:textId="77777777" w:rsidR="00AC6338" w:rsidRDefault="00AC6338">
      <w:pPr>
        <w:rPr>
          <w:sz w:val="22"/>
          <w:szCs w:val="22"/>
        </w:rPr>
      </w:pPr>
    </w:p>
    <w:p w14:paraId="194E7685" w14:textId="77777777" w:rsidR="00AC6338" w:rsidRDefault="00D3389E">
      <w:pPr>
        <w:rPr>
          <w:sz w:val="22"/>
          <w:szCs w:val="22"/>
        </w:rPr>
      </w:pPr>
      <w:r>
        <w:rPr>
          <w:sz w:val="22"/>
          <w:szCs w:val="22"/>
        </w:rPr>
        <w:t>Tikanga refers to Māori customs and traditions. It is important for the correct Māori customs to be followed if new tools are used for pest control in Aotearoa New Zealand. (Science Learning Hub Pokapū Akoranga Pūtaiao, 2023)</w:t>
      </w:r>
    </w:p>
    <w:p w14:paraId="194E7686" w14:textId="77777777" w:rsidR="00AC6338" w:rsidRDefault="00AC6338">
      <w:pPr>
        <w:rPr>
          <w:sz w:val="22"/>
          <w:szCs w:val="22"/>
        </w:rPr>
      </w:pPr>
    </w:p>
    <w:p w14:paraId="194E7687" w14:textId="77777777" w:rsidR="00AC6338" w:rsidRDefault="00D3389E">
      <w:pPr>
        <w:rPr>
          <w:sz w:val="22"/>
          <w:szCs w:val="22"/>
        </w:rPr>
      </w:pPr>
      <w:r>
        <w:rPr>
          <w:sz w:val="22"/>
          <w:szCs w:val="22"/>
        </w:rPr>
        <w:t>There is a need to move on from a black and white view of “GM or not GM” – to a much more nuanced view that recognises a wide range of applications of the technology, some of which may be more acceptable to New Zealand communities than others. (Dr David Penman, Royal Society expert, 2019)</w:t>
      </w:r>
    </w:p>
    <w:p w14:paraId="194E7688" w14:textId="77777777" w:rsidR="00AC6338" w:rsidRDefault="00AC6338">
      <w:pPr>
        <w:rPr>
          <w:sz w:val="22"/>
          <w:szCs w:val="22"/>
        </w:rPr>
      </w:pPr>
    </w:p>
    <w:p w14:paraId="194E7689" w14:textId="77777777" w:rsidR="00AC6338" w:rsidRDefault="00D3389E">
      <w:pPr>
        <w:rPr>
          <w:sz w:val="22"/>
          <w:szCs w:val="22"/>
        </w:rPr>
      </w:pPr>
      <w:r>
        <w:rPr>
          <w:sz w:val="22"/>
          <w:szCs w:val="22"/>
        </w:rPr>
        <w:t>New Zealand needs to have its own perspective given our unique cultural heritage and environment, the special challenges we face in maintaining our biodiversity and a viable and productive primary industry, and our unique regulatory environment. (Dr David Penman, Royal Society expert, 2019)</w:t>
      </w:r>
    </w:p>
    <w:p w14:paraId="194E768A" w14:textId="77777777" w:rsidR="00AC6338" w:rsidRDefault="00AC6338">
      <w:pPr>
        <w:rPr>
          <w:sz w:val="22"/>
          <w:szCs w:val="22"/>
        </w:rPr>
      </w:pPr>
    </w:p>
    <w:p w14:paraId="194E768B" w14:textId="77777777" w:rsidR="00AC6338" w:rsidRDefault="00D3389E">
      <w:pPr>
        <w:rPr>
          <w:sz w:val="22"/>
          <w:szCs w:val="22"/>
        </w:rPr>
      </w:pPr>
      <w:r>
        <w:rPr>
          <w:sz w:val="22"/>
          <w:szCs w:val="22"/>
        </w:rPr>
        <w:t>Across all scenarios, feedback from Māori participants highlighted the importance of whakapapa and mauri, involving tangata whenua around indigenous species, protection of data, and intellectual property implications of gene editing taonga species. (Professor Barry Scott, Royal Society expert, 2019)</w:t>
      </w:r>
    </w:p>
    <w:p w14:paraId="194E768C" w14:textId="77777777" w:rsidR="00AC6338" w:rsidRDefault="00AC6338">
      <w:pPr>
        <w:rPr>
          <w:sz w:val="22"/>
          <w:szCs w:val="22"/>
        </w:rPr>
      </w:pPr>
    </w:p>
    <w:p w14:paraId="194E768D" w14:textId="77777777" w:rsidR="00AC6338" w:rsidRDefault="00D3389E">
      <w:pPr>
        <w:rPr>
          <w:sz w:val="22"/>
          <w:szCs w:val="22"/>
        </w:rPr>
      </w:pPr>
      <w:r>
        <w:rPr>
          <w:sz w:val="22"/>
          <w:szCs w:val="22"/>
        </w:rPr>
        <w:t>There is an urgent need for a wide and well-informed discussion across New Zealand’s diverse communities about their preferences for application of gene editing, in order to inform any regulatory change. (Professor Barry Scott, Royal Society expert, 2019)</w:t>
      </w:r>
    </w:p>
    <w:p w14:paraId="194E768E" w14:textId="77777777" w:rsidR="00AC6338" w:rsidRDefault="00AC6338">
      <w:pPr>
        <w:rPr>
          <w:sz w:val="22"/>
          <w:szCs w:val="22"/>
        </w:rPr>
      </w:pPr>
    </w:p>
    <w:p w14:paraId="194E768F" w14:textId="77777777" w:rsidR="00AC6338" w:rsidRDefault="00D3389E">
      <w:pPr>
        <w:rPr>
          <w:sz w:val="22"/>
          <w:szCs w:val="22"/>
        </w:rPr>
      </w:pPr>
      <w:r>
        <w:rPr>
          <w:sz w:val="22"/>
          <w:szCs w:val="22"/>
        </w:rPr>
        <w:t>There are widely differing views on genetic modification. Many people insist that genetic modification is safe if done carefully and monitored closely. Others consider the potential risks to be too great to allow the release of genetically modified organisms but will support laboratory research. Some say that all genetic modification goes too far in “tampering with nature” and should be completely stopped. (Ministry for the Environment, 2004)</w:t>
      </w:r>
    </w:p>
    <w:p w14:paraId="194E7690" w14:textId="77777777" w:rsidR="00AC6338" w:rsidRDefault="00AC6338">
      <w:pPr>
        <w:rPr>
          <w:sz w:val="22"/>
          <w:szCs w:val="22"/>
        </w:rPr>
      </w:pPr>
    </w:p>
    <w:p w14:paraId="194E7691" w14:textId="77777777" w:rsidR="00AC6338" w:rsidRDefault="00D3389E">
      <w:pPr>
        <w:rPr>
          <w:sz w:val="22"/>
          <w:szCs w:val="22"/>
        </w:rPr>
      </w:pPr>
      <w:proofErr w:type="spellStart"/>
      <w:r>
        <w:rPr>
          <w:sz w:val="22"/>
          <w:szCs w:val="22"/>
        </w:rPr>
        <w:t>BioHeritage</w:t>
      </w:r>
      <w:proofErr w:type="spellEnd"/>
      <w:r>
        <w:rPr>
          <w:sz w:val="22"/>
          <w:szCs w:val="22"/>
        </w:rPr>
        <w:t xml:space="preserve"> Challenge survey (2017) on public attitudes to new pest control technologies, which include gene drive, found:</w:t>
      </w:r>
    </w:p>
    <w:p w14:paraId="194E7692" w14:textId="77777777" w:rsidR="00AC6338" w:rsidRDefault="00D3389E">
      <w:pPr>
        <w:numPr>
          <w:ilvl w:val="0"/>
          <w:numId w:val="32"/>
        </w:numPr>
        <w:ind w:left="360"/>
        <w:rPr>
          <w:sz w:val="22"/>
          <w:szCs w:val="22"/>
        </w:rPr>
      </w:pPr>
      <w:r>
        <w:rPr>
          <w:sz w:val="22"/>
          <w:szCs w:val="22"/>
        </w:rPr>
        <w:t>32% were comfortable with these developments</w:t>
      </w:r>
    </w:p>
    <w:p w14:paraId="194E7693" w14:textId="77777777" w:rsidR="00AC6338" w:rsidRDefault="00D3389E">
      <w:pPr>
        <w:numPr>
          <w:ilvl w:val="0"/>
          <w:numId w:val="32"/>
        </w:numPr>
        <w:ind w:left="360"/>
        <w:rPr>
          <w:sz w:val="22"/>
          <w:szCs w:val="22"/>
        </w:rPr>
      </w:pPr>
      <w:r>
        <w:rPr>
          <w:sz w:val="22"/>
          <w:szCs w:val="22"/>
        </w:rPr>
        <w:t>18% felt they should never be used</w:t>
      </w:r>
    </w:p>
    <w:p w14:paraId="194E7694" w14:textId="77777777" w:rsidR="00AC6338" w:rsidRDefault="00D3389E">
      <w:pPr>
        <w:numPr>
          <w:ilvl w:val="0"/>
          <w:numId w:val="32"/>
        </w:numPr>
        <w:ind w:left="360"/>
        <w:rPr>
          <w:sz w:val="22"/>
          <w:szCs w:val="22"/>
        </w:rPr>
      </w:pPr>
      <w:r>
        <w:rPr>
          <w:sz w:val="22"/>
          <w:szCs w:val="22"/>
        </w:rPr>
        <w:t>50% were undecided or wanted strong controls</w:t>
      </w:r>
    </w:p>
    <w:p w14:paraId="194E7695" w14:textId="77777777" w:rsidR="00AC6338" w:rsidRDefault="00D3389E">
      <w:pPr>
        <w:numPr>
          <w:ilvl w:val="0"/>
          <w:numId w:val="32"/>
        </w:numPr>
        <w:ind w:left="360"/>
        <w:rPr>
          <w:sz w:val="22"/>
          <w:szCs w:val="22"/>
        </w:rPr>
      </w:pPr>
      <w:r>
        <w:rPr>
          <w:sz w:val="22"/>
          <w:szCs w:val="22"/>
        </w:rPr>
        <w:t>42% supported trojan female techniques (where females pass on genes that make male offspring infertile)</w:t>
      </w:r>
    </w:p>
    <w:p w14:paraId="194E7696" w14:textId="77777777" w:rsidR="00AC6338" w:rsidRDefault="00D3389E">
      <w:pPr>
        <w:numPr>
          <w:ilvl w:val="0"/>
          <w:numId w:val="32"/>
        </w:numPr>
        <w:ind w:left="360"/>
        <w:rPr>
          <w:sz w:val="22"/>
          <w:szCs w:val="22"/>
        </w:rPr>
      </w:pPr>
      <w:r>
        <w:rPr>
          <w:sz w:val="22"/>
          <w:szCs w:val="22"/>
        </w:rPr>
        <w:t>52% supported a species-specific toxin.</w:t>
      </w:r>
    </w:p>
    <w:p w14:paraId="194E7697" w14:textId="77777777" w:rsidR="00AC6338" w:rsidRDefault="00AC6338">
      <w:pPr>
        <w:rPr>
          <w:sz w:val="22"/>
          <w:szCs w:val="22"/>
        </w:rPr>
      </w:pPr>
    </w:p>
    <w:p w14:paraId="194E7698" w14:textId="77777777" w:rsidR="00AC6338" w:rsidRDefault="00D3389E">
      <w:pPr>
        <w:keepNext/>
        <w:widowControl/>
        <w:rPr>
          <w:sz w:val="22"/>
          <w:szCs w:val="22"/>
        </w:rPr>
      </w:pPr>
      <w:r>
        <w:rPr>
          <w:sz w:val="22"/>
          <w:szCs w:val="22"/>
        </w:rPr>
        <w:lastRenderedPageBreak/>
        <w:t>Modern genetic modification (GM) technologies such as gene-editing offer potential new opportunities for boosting productivity, improving health outcomes, reducing biosecurity risks, and responding to climate-change risks and other environmental problems effectively and efficiently. The regulatory framework for GM tools was last reviewed in 2001 and does not reflect technological advances since that time. The Government should review the GM regulatory framework, to ensure it is fit for purpose and supports domestic innovation. This review should include wide engagement with industry, Māori and the general public. It should assess consumer attitudes, and the potential impacts on New Zealand firms who wish to retain GM-free status, and on New Zealand’s reputation and brand more generally. (New Zealand Productivity Commission, 2021)</w:t>
      </w:r>
    </w:p>
    <w:p w14:paraId="194E7699" w14:textId="77777777" w:rsidR="00AC6338" w:rsidRDefault="00AC6338">
      <w:pPr>
        <w:rPr>
          <w:sz w:val="22"/>
          <w:szCs w:val="22"/>
        </w:rPr>
      </w:pPr>
    </w:p>
    <w:p w14:paraId="194E769A" w14:textId="77777777" w:rsidR="00AC6338" w:rsidRDefault="00D3389E">
      <w:pPr>
        <w:rPr>
          <w:sz w:val="22"/>
          <w:szCs w:val="22"/>
        </w:rPr>
      </w:pPr>
      <w:r>
        <w:rPr>
          <w:sz w:val="22"/>
          <w:szCs w:val="22"/>
        </w:rPr>
        <w:t>The gene genie cannot be put back into the bottle. Once a modified organism is introduced to an environment, it cannot be called back. We have unique flora and fauna in this country, found nowhere else on the planet. Surely, we have a guardianship responsibility to preserve this for future generations. Introducing GMO, even with virtuous intentions, puts it all at risk and is an abdication of our responsibility. (Prem Maan, executive chairman at Southern Pastures, Stuff, 2021)</w:t>
      </w:r>
    </w:p>
    <w:p w14:paraId="194E769B" w14:textId="77777777" w:rsidR="00AC6338" w:rsidRDefault="00AC6338">
      <w:pPr>
        <w:rPr>
          <w:sz w:val="22"/>
          <w:szCs w:val="22"/>
        </w:rPr>
      </w:pPr>
    </w:p>
    <w:p w14:paraId="194E769C" w14:textId="77777777" w:rsidR="00AC6338" w:rsidRDefault="00D3389E">
      <w:pPr>
        <w:rPr>
          <w:sz w:val="22"/>
          <w:szCs w:val="22"/>
        </w:rPr>
      </w:pPr>
      <w:r>
        <w:rPr>
          <w:sz w:val="22"/>
          <w:szCs w:val="22"/>
        </w:rPr>
        <w:t>Currently, our biological heritage is under threat, which includes declining biodiversity, increasing pressures on our biosecurity system and changing environmental states. Issues such as use of outdated technology, critical knowledge gaps, and lack of public awareness due to the poor links between science and action make this problem complex. (Science Learning Hub Pokapū Akoranga Pūtaiao, 2023)</w:t>
      </w:r>
    </w:p>
    <w:p w14:paraId="194E769D" w14:textId="77777777" w:rsidR="00AC6338" w:rsidRDefault="00D3389E">
      <w:r>
        <w:br w:type="page"/>
      </w:r>
    </w:p>
    <w:p w14:paraId="194E769E" w14:textId="77777777" w:rsidR="00AC6338" w:rsidRDefault="00D3389E">
      <w:pPr>
        <w:rPr>
          <w:b/>
          <w:i/>
          <w:sz w:val="22"/>
          <w:szCs w:val="22"/>
        </w:rPr>
      </w:pPr>
      <w:bookmarkStart w:id="4" w:name="bookmark=id.26in1rg" w:colFirst="0" w:colLast="0"/>
      <w:bookmarkEnd w:id="4"/>
      <w:r>
        <w:rPr>
          <w:b/>
          <w:i/>
          <w:sz w:val="22"/>
          <w:szCs w:val="22"/>
        </w:rPr>
        <w:lastRenderedPageBreak/>
        <w:t>Suggested resources</w:t>
      </w:r>
    </w:p>
    <w:p w14:paraId="194E769F" w14:textId="77777777" w:rsidR="00AC6338" w:rsidRDefault="00AC6338">
      <w:pPr>
        <w:rPr>
          <w:b/>
          <w:sz w:val="22"/>
          <w:szCs w:val="22"/>
        </w:rPr>
      </w:pPr>
    </w:p>
    <w:p w14:paraId="194E76A0" w14:textId="77777777" w:rsidR="00AC6338" w:rsidRDefault="00D3389E">
      <w:pPr>
        <w:rPr>
          <w:sz w:val="22"/>
          <w:szCs w:val="22"/>
        </w:rPr>
      </w:pPr>
      <w:r>
        <w:rPr>
          <w:sz w:val="22"/>
          <w:szCs w:val="22"/>
        </w:rPr>
        <w:t>Use these resources to gather information. All Science Learning Hub Pokapū Akoranga Pūtaiao have related content and useful links, which may be beneficial.</w:t>
      </w:r>
    </w:p>
    <w:p w14:paraId="194E76A1" w14:textId="77777777" w:rsidR="00AC6338" w:rsidRDefault="00AC6338">
      <w:pPr>
        <w:rPr>
          <w:sz w:val="22"/>
          <w:szCs w:val="22"/>
        </w:rPr>
      </w:pPr>
    </w:p>
    <w:p w14:paraId="194E76A2" w14:textId="77777777" w:rsidR="00AC6338" w:rsidRPr="00EE5F1A" w:rsidRDefault="00D3389E">
      <w:pPr>
        <w:rPr>
          <w:b/>
          <w:bCs/>
          <w:iCs/>
          <w:sz w:val="22"/>
          <w:szCs w:val="22"/>
        </w:rPr>
      </w:pPr>
      <w:r w:rsidRPr="00EE5F1A">
        <w:rPr>
          <w:b/>
          <w:bCs/>
          <w:iCs/>
          <w:sz w:val="22"/>
          <w:szCs w:val="22"/>
        </w:rPr>
        <w:t>Biology basics</w:t>
      </w:r>
    </w:p>
    <w:p w14:paraId="194E76A3" w14:textId="1D8B0DA3" w:rsidR="00AC6338" w:rsidRPr="00EE5F1A" w:rsidRDefault="00000000" w:rsidP="00EE5F1A">
      <w:pPr>
        <w:pStyle w:val="ListParagraph"/>
        <w:numPr>
          <w:ilvl w:val="0"/>
          <w:numId w:val="37"/>
        </w:numPr>
        <w:ind w:left="426"/>
        <w:rPr>
          <w:sz w:val="22"/>
          <w:szCs w:val="22"/>
        </w:rPr>
      </w:pPr>
      <w:hyperlink r:id="rId21" w:history="1">
        <w:r w:rsidR="00D3389E" w:rsidRPr="00EE5F1A">
          <w:rPr>
            <w:rStyle w:val="Hyperlink"/>
            <w:sz w:val="22"/>
            <w:szCs w:val="22"/>
          </w:rPr>
          <w:t>RNA interference</w:t>
        </w:r>
      </w:hyperlink>
    </w:p>
    <w:p w14:paraId="194E76A4" w14:textId="5D7543DC" w:rsidR="00AC6338" w:rsidRPr="00EE5F1A" w:rsidRDefault="00000000" w:rsidP="00EE5F1A">
      <w:pPr>
        <w:pStyle w:val="ListParagraph"/>
        <w:numPr>
          <w:ilvl w:val="0"/>
          <w:numId w:val="37"/>
        </w:numPr>
        <w:ind w:left="426"/>
        <w:rPr>
          <w:sz w:val="22"/>
          <w:szCs w:val="22"/>
        </w:rPr>
      </w:pPr>
      <w:hyperlink r:id="rId22" w:history="1">
        <w:r w:rsidR="00D3389E" w:rsidRPr="00EE5F1A">
          <w:rPr>
            <w:rStyle w:val="Hyperlink"/>
            <w:sz w:val="22"/>
            <w:szCs w:val="22"/>
          </w:rPr>
          <w:t>RNA interference – key terms</w:t>
        </w:r>
      </w:hyperlink>
    </w:p>
    <w:p w14:paraId="194E76A5" w14:textId="77777777" w:rsidR="00AC6338" w:rsidRPr="00EE5F1A" w:rsidRDefault="00000000" w:rsidP="00EE5F1A">
      <w:pPr>
        <w:pStyle w:val="ListParagraph"/>
        <w:numPr>
          <w:ilvl w:val="0"/>
          <w:numId w:val="37"/>
        </w:numPr>
        <w:ind w:left="426"/>
        <w:rPr>
          <w:sz w:val="22"/>
          <w:szCs w:val="22"/>
        </w:rPr>
      </w:pPr>
      <w:hyperlink r:id="rId23">
        <w:r w:rsidR="00D3389E" w:rsidRPr="00EE5F1A">
          <w:rPr>
            <w:rStyle w:val="Hyperlink"/>
            <w:sz w:val="22"/>
            <w:szCs w:val="22"/>
          </w:rPr>
          <w:t>DNA, chromosomes and gene expression</w:t>
        </w:r>
      </w:hyperlink>
    </w:p>
    <w:p w14:paraId="194E76A6" w14:textId="77777777" w:rsidR="00AC6338" w:rsidRPr="00EE5F1A" w:rsidRDefault="00000000" w:rsidP="00EE5F1A">
      <w:pPr>
        <w:pStyle w:val="ListParagraph"/>
        <w:numPr>
          <w:ilvl w:val="0"/>
          <w:numId w:val="37"/>
        </w:numPr>
        <w:ind w:left="426"/>
        <w:rPr>
          <w:sz w:val="22"/>
          <w:szCs w:val="22"/>
        </w:rPr>
      </w:pPr>
      <w:hyperlink r:id="rId24">
        <w:r w:rsidR="00D3389E" w:rsidRPr="00EE5F1A">
          <w:rPr>
            <w:rStyle w:val="Hyperlink"/>
            <w:sz w:val="22"/>
            <w:szCs w:val="22"/>
          </w:rPr>
          <w:t>Proteins – what they are and how they’re made</w:t>
        </w:r>
      </w:hyperlink>
    </w:p>
    <w:p w14:paraId="194E76A7" w14:textId="77777777" w:rsidR="00AC6338" w:rsidRPr="00EE5F1A" w:rsidRDefault="00000000" w:rsidP="00EE5F1A">
      <w:pPr>
        <w:pStyle w:val="ListParagraph"/>
        <w:numPr>
          <w:ilvl w:val="0"/>
          <w:numId w:val="37"/>
        </w:numPr>
        <w:ind w:left="426"/>
        <w:rPr>
          <w:sz w:val="22"/>
          <w:szCs w:val="22"/>
        </w:rPr>
      </w:pPr>
      <w:hyperlink r:id="rId25">
        <w:r w:rsidR="00D3389E" w:rsidRPr="00EE5F1A">
          <w:rPr>
            <w:rStyle w:val="Hyperlink"/>
            <w:sz w:val="22"/>
            <w:szCs w:val="22"/>
          </w:rPr>
          <w:t>Cell biology and genetics</w:t>
        </w:r>
      </w:hyperlink>
    </w:p>
    <w:p w14:paraId="194E76A8" w14:textId="77777777" w:rsidR="00AC6338" w:rsidRPr="00EE5F1A" w:rsidRDefault="00000000" w:rsidP="00EE5F1A">
      <w:pPr>
        <w:pStyle w:val="ListParagraph"/>
        <w:numPr>
          <w:ilvl w:val="0"/>
          <w:numId w:val="37"/>
        </w:numPr>
        <w:ind w:left="426"/>
        <w:rPr>
          <w:sz w:val="22"/>
          <w:szCs w:val="22"/>
        </w:rPr>
      </w:pPr>
      <w:hyperlink r:id="rId26">
        <w:r w:rsidR="00D3389E" w:rsidRPr="00EE5F1A">
          <w:rPr>
            <w:rStyle w:val="Hyperlink"/>
            <w:sz w:val="22"/>
            <w:szCs w:val="22"/>
          </w:rPr>
          <w:t>Gene editing technologies</w:t>
        </w:r>
      </w:hyperlink>
      <w:r w:rsidR="00D3389E" w:rsidRPr="00EE5F1A">
        <w:rPr>
          <w:sz w:val="22"/>
          <w:szCs w:val="22"/>
        </w:rPr>
        <w:t xml:space="preserve"> – Royal Society Te Apārangi</w:t>
      </w:r>
    </w:p>
    <w:p w14:paraId="194E76A9" w14:textId="77777777" w:rsidR="00AC6338" w:rsidRDefault="00AC6338">
      <w:pPr>
        <w:ind w:right="120"/>
        <w:rPr>
          <w:sz w:val="22"/>
          <w:szCs w:val="22"/>
        </w:rPr>
      </w:pPr>
    </w:p>
    <w:p w14:paraId="194E76AA" w14:textId="77777777" w:rsidR="00AC6338" w:rsidRPr="00EE5F1A" w:rsidRDefault="00D3389E">
      <w:pPr>
        <w:rPr>
          <w:b/>
          <w:bCs/>
          <w:iCs/>
          <w:sz w:val="22"/>
          <w:szCs w:val="22"/>
        </w:rPr>
      </w:pPr>
      <w:r w:rsidRPr="00EE5F1A">
        <w:rPr>
          <w:b/>
          <w:bCs/>
          <w:iCs/>
          <w:sz w:val="22"/>
          <w:szCs w:val="22"/>
        </w:rPr>
        <w:t>Varroa mites</w:t>
      </w:r>
    </w:p>
    <w:p w14:paraId="194E76AB" w14:textId="06BA395B" w:rsidR="00AC6338" w:rsidRPr="00EE5F1A" w:rsidRDefault="00000000" w:rsidP="00EE5F1A">
      <w:pPr>
        <w:pStyle w:val="ListParagraph"/>
        <w:numPr>
          <w:ilvl w:val="0"/>
          <w:numId w:val="38"/>
        </w:numPr>
        <w:ind w:left="426"/>
        <w:rPr>
          <w:sz w:val="22"/>
          <w:szCs w:val="22"/>
        </w:rPr>
      </w:pPr>
      <w:hyperlink r:id="rId27" w:history="1">
        <w:r w:rsidR="00D3389E" w:rsidRPr="00EE5F1A">
          <w:rPr>
            <w:rStyle w:val="Hyperlink"/>
            <w:sz w:val="22"/>
            <w:szCs w:val="22"/>
          </w:rPr>
          <w:t>Using RNAi to control varroa mites</w:t>
        </w:r>
      </w:hyperlink>
    </w:p>
    <w:p w14:paraId="194E76AC" w14:textId="77777777" w:rsidR="00AC6338" w:rsidRPr="00EE5F1A" w:rsidRDefault="00000000" w:rsidP="00EE5F1A">
      <w:pPr>
        <w:pStyle w:val="ListParagraph"/>
        <w:numPr>
          <w:ilvl w:val="0"/>
          <w:numId w:val="38"/>
        </w:numPr>
        <w:ind w:left="426"/>
        <w:rPr>
          <w:sz w:val="22"/>
          <w:szCs w:val="22"/>
        </w:rPr>
      </w:pPr>
      <w:hyperlink r:id="rId28">
        <w:r w:rsidR="00D3389E" w:rsidRPr="00EE5F1A">
          <w:rPr>
            <w:rStyle w:val="Hyperlink"/>
            <w:sz w:val="22"/>
            <w:szCs w:val="22"/>
          </w:rPr>
          <w:t>Honey bee heroes</w:t>
        </w:r>
      </w:hyperlink>
    </w:p>
    <w:p w14:paraId="194E76AD" w14:textId="77777777" w:rsidR="00AC6338" w:rsidRPr="00EE5F1A" w:rsidRDefault="00000000" w:rsidP="00EE5F1A">
      <w:pPr>
        <w:pStyle w:val="ListParagraph"/>
        <w:numPr>
          <w:ilvl w:val="0"/>
          <w:numId w:val="38"/>
        </w:numPr>
        <w:ind w:left="426"/>
        <w:rPr>
          <w:sz w:val="22"/>
          <w:szCs w:val="22"/>
        </w:rPr>
      </w:pPr>
      <w:hyperlink r:id="rId29">
        <w:r w:rsidR="00D3389E" w:rsidRPr="00EE5F1A">
          <w:rPr>
            <w:rStyle w:val="Hyperlink"/>
            <w:sz w:val="22"/>
            <w:szCs w:val="22"/>
          </w:rPr>
          <w:t>Fighting a little bee mite</w:t>
        </w:r>
      </w:hyperlink>
    </w:p>
    <w:p w14:paraId="194E76AE" w14:textId="77777777" w:rsidR="00AC6338" w:rsidRPr="00EE5F1A" w:rsidRDefault="00000000" w:rsidP="00EE5F1A">
      <w:pPr>
        <w:pStyle w:val="ListParagraph"/>
        <w:numPr>
          <w:ilvl w:val="0"/>
          <w:numId w:val="38"/>
        </w:numPr>
        <w:ind w:left="426"/>
        <w:rPr>
          <w:sz w:val="22"/>
          <w:szCs w:val="22"/>
        </w:rPr>
      </w:pPr>
      <w:hyperlink r:id="rId30">
        <w:r w:rsidR="00D3389E" w:rsidRPr="00EE5F1A">
          <w:rPr>
            <w:rStyle w:val="Hyperlink"/>
            <w:sz w:val="22"/>
            <w:szCs w:val="22"/>
          </w:rPr>
          <w:t xml:space="preserve">Protecting honeybees from the </w:t>
        </w:r>
        <w:r w:rsidR="00D3389E" w:rsidRPr="000328CB">
          <w:rPr>
            <w:rStyle w:val="Hyperlink"/>
            <w:i/>
            <w:iCs/>
            <w:sz w:val="22"/>
            <w:szCs w:val="22"/>
          </w:rPr>
          <w:t>Varroa destructor</w:t>
        </w:r>
        <w:r w:rsidR="00D3389E" w:rsidRPr="00EE5F1A">
          <w:rPr>
            <w:rStyle w:val="Hyperlink"/>
            <w:sz w:val="22"/>
            <w:szCs w:val="22"/>
          </w:rPr>
          <w:t xml:space="preserve"> mite</w:t>
        </w:r>
      </w:hyperlink>
      <w:r w:rsidR="00D3389E" w:rsidRPr="00EE5F1A">
        <w:rPr>
          <w:sz w:val="22"/>
          <w:szCs w:val="22"/>
        </w:rPr>
        <w:t xml:space="preserve"> – Greenlight Biosciences</w:t>
      </w:r>
    </w:p>
    <w:p w14:paraId="194E76AF" w14:textId="77777777" w:rsidR="00AC6338" w:rsidRPr="00EE5F1A" w:rsidRDefault="00000000" w:rsidP="00EE5F1A">
      <w:pPr>
        <w:pStyle w:val="ListParagraph"/>
        <w:numPr>
          <w:ilvl w:val="0"/>
          <w:numId w:val="38"/>
        </w:numPr>
        <w:ind w:left="426"/>
        <w:rPr>
          <w:sz w:val="22"/>
          <w:szCs w:val="22"/>
        </w:rPr>
      </w:pPr>
      <w:hyperlink r:id="rId31">
        <w:r w:rsidR="00D3389E" w:rsidRPr="00EE5F1A">
          <w:rPr>
            <w:rStyle w:val="Hyperlink"/>
            <w:sz w:val="22"/>
            <w:szCs w:val="22"/>
          </w:rPr>
          <w:t>New direction for varroa control research</w:t>
        </w:r>
      </w:hyperlink>
      <w:r w:rsidR="00D3389E" w:rsidRPr="00EE5F1A">
        <w:rPr>
          <w:sz w:val="22"/>
          <w:szCs w:val="22"/>
        </w:rPr>
        <w:t xml:space="preserve"> – University of Arkansas</w:t>
      </w:r>
    </w:p>
    <w:p w14:paraId="194E76B0" w14:textId="77777777" w:rsidR="00AC6338" w:rsidRDefault="00AC6338">
      <w:pPr>
        <w:ind w:right="120"/>
        <w:rPr>
          <w:sz w:val="22"/>
          <w:szCs w:val="22"/>
        </w:rPr>
      </w:pPr>
    </w:p>
    <w:p w14:paraId="194E76B1" w14:textId="77777777" w:rsidR="00AC6338" w:rsidRPr="00EE5F1A" w:rsidRDefault="00D3389E">
      <w:pPr>
        <w:rPr>
          <w:b/>
          <w:bCs/>
          <w:iCs/>
          <w:sz w:val="22"/>
          <w:szCs w:val="22"/>
        </w:rPr>
      </w:pPr>
      <w:r w:rsidRPr="00EE5F1A">
        <w:rPr>
          <w:b/>
          <w:bCs/>
          <w:iCs/>
          <w:sz w:val="22"/>
          <w:szCs w:val="22"/>
        </w:rPr>
        <w:t>Myrtle rust</w:t>
      </w:r>
    </w:p>
    <w:p w14:paraId="194E76B2" w14:textId="0C2C89D3" w:rsidR="00AC6338" w:rsidRPr="00EE5F1A" w:rsidRDefault="00000000" w:rsidP="00EE5F1A">
      <w:pPr>
        <w:pStyle w:val="ListParagraph"/>
        <w:numPr>
          <w:ilvl w:val="0"/>
          <w:numId w:val="39"/>
        </w:numPr>
        <w:ind w:left="426"/>
        <w:rPr>
          <w:sz w:val="22"/>
          <w:szCs w:val="22"/>
        </w:rPr>
      </w:pPr>
      <w:hyperlink r:id="rId32" w:history="1">
        <w:r w:rsidR="00D3389E" w:rsidRPr="00EE5F1A">
          <w:rPr>
            <w:rStyle w:val="Hyperlink"/>
            <w:sz w:val="22"/>
            <w:szCs w:val="22"/>
          </w:rPr>
          <w:t>Using RNAi to combat myrtle rust</w:t>
        </w:r>
      </w:hyperlink>
    </w:p>
    <w:p w14:paraId="194E76B3" w14:textId="77777777" w:rsidR="00AC6338" w:rsidRPr="00EE5F1A" w:rsidRDefault="00000000" w:rsidP="00EE5F1A">
      <w:pPr>
        <w:pStyle w:val="ListParagraph"/>
        <w:numPr>
          <w:ilvl w:val="0"/>
          <w:numId w:val="39"/>
        </w:numPr>
        <w:ind w:left="426"/>
        <w:rPr>
          <w:sz w:val="22"/>
          <w:szCs w:val="22"/>
        </w:rPr>
      </w:pPr>
      <w:hyperlink r:id="rId33">
        <w:r w:rsidR="00D3389E" w:rsidRPr="00EE5F1A">
          <w:rPr>
            <w:rStyle w:val="Hyperlink"/>
            <w:sz w:val="22"/>
            <w:szCs w:val="22"/>
          </w:rPr>
          <w:t>Myrtle rust</w:t>
        </w:r>
      </w:hyperlink>
    </w:p>
    <w:p w14:paraId="65A743CD" w14:textId="77777777" w:rsidR="002F2F4F" w:rsidRPr="002F2F4F" w:rsidRDefault="00000000" w:rsidP="002F2F4F">
      <w:pPr>
        <w:pStyle w:val="ListParagraph"/>
        <w:numPr>
          <w:ilvl w:val="0"/>
          <w:numId w:val="39"/>
        </w:numPr>
        <w:ind w:left="426"/>
        <w:rPr>
          <w:rStyle w:val="Hyperlink"/>
          <w:color w:val="auto"/>
          <w:sz w:val="22"/>
          <w:szCs w:val="22"/>
          <w:u w:val="none"/>
        </w:rPr>
      </w:pPr>
      <w:hyperlink r:id="rId34">
        <w:r w:rsidR="00D3389E" w:rsidRPr="00EE5F1A">
          <w:rPr>
            <w:rStyle w:val="Hyperlink"/>
            <w:sz w:val="22"/>
            <w:szCs w:val="22"/>
          </w:rPr>
          <w:t>Myrtle rust surveillance map</w:t>
        </w:r>
      </w:hyperlink>
    </w:p>
    <w:p w14:paraId="194E76B5" w14:textId="4675BC47" w:rsidR="00AC6338" w:rsidRDefault="002F2F4F" w:rsidP="002F2F4F">
      <w:pPr>
        <w:pStyle w:val="ListParagraph"/>
        <w:numPr>
          <w:ilvl w:val="0"/>
          <w:numId w:val="39"/>
        </w:numPr>
        <w:ind w:left="426"/>
        <w:rPr>
          <w:sz w:val="22"/>
          <w:szCs w:val="22"/>
        </w:rPr>
      </w:pPr>
      <w:hyperlink r:id="rId35" w:history="1">
        <w:r w:rsidRPr="002F2F4F">
          <w:rPr>
            <w:rStyle w:val="Hyperlink"/>
            <w:sz w:val="22"/>
            <w:szCs w:val="22"/>
          </w:rPr>
          <w:t xml:space="preserve">Kauri </w:t>
        </w:r>
        <w:proofErr w:type="spellStart"/>
        <w:r w:rsidRPr="002F2F4F">
          <w:rPr>
            <w:rStyle w:val="Hyperlink"/>
            <w:sz w:val="22"/>
            <w:szCs w:val="22"/>
          </w:rPr>
          <w:t>ora</w:t>
        </w:r>
        <w:proofErr w:type="spellEnd"/>
      </w:hyperlink>
      <w:r>
        <w:rPr>
          <w:rStyle w:val="Hyperlink"/>
          <w:sz w:val="22"/>
          <w:szCs w:val="22"/>
        </w:rPr>
        <w:t xml:space="preserve"> </w:t>
      </w:r>
      <w:r w:rsidR="00D3389E" w:rsidRPr="002F2F4F">
        <w:rPr>
          <w:sz w:val="22"/>
          <w:szCs w:val="22"/>
        </w:rPr>
        <w:t xml:space="preserve">– </w:t>
      </w:r>
      <w:proofErr w:type="spellStart"/>
      <w:r w:rsidR="00D3389E" w:rsidRPr="002F2F4F">
        <w:rPr>
          <w:sz w:val="22"/>
          <w:szCs w:val="22"/>
        </w:rPr>
        <w:t>BioHeritage</w:t>
      </w:r>
      <w:proofErr w:type="spellEnd"/>
      <w:r w:rsidR="00D3389E" w:rsidRPr="002F2F4F">
        <w:rPr>
          <w:sz w:val="22"/>
          <w:szCs w:val="22"/>
        </w:rPr>
        <w:t xml:space="preserve"> National Science Challenge</w:t>
      </w:r>
    </w:p>
    <w:p w14:paraId="708C6820" w14:textId="1FE3E0F3" w:rsidR="002F2F4F" w:rsidRPr="002F2F4F" w:rsidRDefault="002F2F4F" w:rsidP="002F2F4F">
      <w:pPr>
        <w:pStyle w:val="ListParagraph"/>
        <w:numPr>
          <w:ilvl w:val="0"/>
          <w:numId w:val="39"/>
        </w:numPr>
        <w:ind w:left="426"/>
        <w:rPr>
          <w:sz w:val="22"/>
          <w:szCs w:val="22"/>
        </w:rPr>
      </w:pPr>
      <w:hyperlink r:id="rId36" w:history="1">
        <w:r w:rsidRPr="002F2F4F">
          <w:rPr>
            <w:rStyle w:val="Hyperlink"/>
            <w:sz w:val="22"/>
            <w:szCs w:val="22"/>
          </w:rPr>
          <w:t xml:space="preserve">Myrtle </w:t>
        </w:r>
        <w:proofErr w:type="spellStart"/>
        <w:r w:rsidRPr="002F2F4F">
          <w:rPr>
            <w:rStyle w:val="Hyperlink"/>
            <w:sz w:val="22"/>
            <w:szCs w:val="22"/>
          </w:rPr>
          <w:t>ora</w:t>
        </w:r>
        <w:proofErr w:type="spellEnd"/>
      </w:hyperlink>
      <w:r>
        <w:rPr>
          <w:sz w:val="22"/>
          <w:szCs w:val="22"/>
        </w:rPr>
        <w:t xml:space="preserve"> </w:t>
      </w:r>
      <w:r w:rsidRPr="002F2F4F">
        <w:rPr>
          <w:sz w:val="22"/>
          <w:szCs w:val="22"/>
        </w:rPr>
        <w:t xml:space="preserve">– </w:t>
      </w:r>
      <w:proofErr w:type="spellStart"/>
      <w:r w:rsidRPr="002F2F4F">
        <w:rPr>
          <w:sz w:val="22"/>
          <w:szCs w:val="22"/>
        </w:rPr>
        <w:t>BioHeritage</w:t>
      </w:r>
      <w:proofErr w:type="spellEnd"/>
      <w:r w:rsidRPr="002F2F4F">
        <w:rPr>
          <w:sz w:val="22"/>
          <w:szCs w:val="22"/>
        </w:rPr>
        <w:t xml:space="preserve"> National Science Challenge</w:t>
      </w:r>
    </w:p>
    <w:p w14:paraId="194E76B6" w14:textId="77777777" w:rsidR="00AC6338" w:rsidRPr="00EE5F1A" w:rsidRDefault="00000000" w:rsidP="00EE5F1A">
      <w:pPr>
        <w:pStyle w:val="ListParagraph"/>
        <w:numPr>
          <w:ilvl w:val="0"/>
          <w:numId w:val="39"/>
        </w:numPr>
        <w:ind w:left="426"/>
        <w:rPr>
          <w:sz w:val="22"/>
          <w:szCs w:val="22"/>
        </w:rPr>
      </w:pPr>
      <w:hyperlink r:id="rId37" w:anchor=":~:text=Developed%20in%20collaboration%20with%20Department,bushland%2C%20home%20gardens%20and%20nurseries.">
        <w:r w:rsidR="00D3389E" w:rsidRPr="00EE5F1A">
          <w:rPr>
            <w:rStyle w:val="Hyperlink"/>
            <w:sz w:val="22"/>
            <w:szCs w:val="22"/>
          </w:rPr>
          <w:t>Scientists tackle rusty plant threat</w:t>
        </w:r>
      </w:hyperlink>
      <w:r w:rsidR="00D3389E" w:rsidRPr="00EE5F1A">
        <w:rPr>
          <w:sz w:val="22"/>
          <w:szCs w:val="22"/>
        </w:rPr>
        <w:t xml:space="preserve"> – University of Queensland</w:t>
      </w:r>
    </w:p>
    <w:p w14:paraId="194E76B7" w14:textId="77777777" w:rsidR="00AC6338" w:rsidRDefault="00AC6338">
      <w:pPr>
        <w:ind w:right="120"/>
        <w:rPr>
          <w:sz w:val="22"/>
          <w:szCs w:val="22"/>
        </w:rPr>
      </w:pPr>
    </w:p>
    <w:p w14:paraId="194E76B8" w14:textId="77777777" w:rsidR="00AC6338" w:rsidRPr="00EE5F1A" w:rsidRDefault="00D3389E">
      <w:pPr>
        <w:rPr>
          <w:b/>
          <w:bCs/>
          <w:iCs/>
          <w:sz w:val="22"/>
          <w:szCs w:val="22"/>
        </w:rPr>
      </w:pPr>
      <w:r w:rsidRPr="00EE5F1A">
        <w:rPr>
          <w:b/>
          <w:bCs/>
          <w:iCs/>
          <w:sz w:val="22"/>
          <w:szCs w:val="22"/>
        </w:rPr>
        <w:t>Te ao Māori perspectives</w:t>
      </w:r>
    </w:p>
    <w:p w14:paraId="194E76B9" w14:textId="54B856F9" w:rsidR="00AC6338" w:rsidRPr="00EE5F1A" w:rsidRDefault="00000000" w:rsidP="00EE5F1A">
      <w:pPr>
        <w:pStyle w:val="ListParagraph"/>
        <w:numPr>
          <w:ilvl w:val="0"/>
          <w:numId w:val="40"/>
        </w:numPr>
        <w:ind w:left="426"/>
        <w:rPr>
          <w:sz w:val="22"/>
          <w:szCs w:val="22"/>
        </w:rPr>
      </w:pPr>
      <w:hyperlink r:id="rId38" w:history="1">
        <w:r w:rsidR="00D3389E" w:rsidRPr="00EE5F1A">
          <w:rPr>
            <w:rStyle w:val="Hyperlink"/>
            <w:sz w:val="22"/>
            <w:szCs w:val="22"/>
          </w:rPr>
          <w:t xml:space="preserve">RNAi </w:t>
        </w:r>
        <w:r w:rsidR="001A0E83">
          <w:rPr>
            <w:rStyle w:val="Hyperlink"/>
            <w:sz w:val="22"/>
            <w:szCs w:val="22"/>
          </w:rPr>
          <w:t xml:space="preserve">for pest control </w:t>
        </w:r>
        <w:r w:rsidR="00D3389E" w:rsidRPr="00EE5F1A">
          <w:rPr>
            <w:rStyle w:val="Hyperlink"/>
            <w:sz w:val="22"/>
            <w:szCs w:val="22"/>
          </w:rPr>
          <w:t xml:space="preserve">– </w:t>
        </w:r>
        <w:proofErr w:type="spellStart"/>
        <w:r w:rsidR="00D3389E" w:rsidRPr="00EE5F1A">
          <w:rPr>
            <w:rStyle w:val="Hyperlink"/>
            <w:sz w:val="22"/>
            <w:szCs w:val="22"/>
          </w:rPr>
          <w:t>te</w:t>
        </w:r>
        <w:proofErr w:type="spellEnd"/>
        <w:r w:rsidR="00D3389E" w:rsidRPr="00EE5F1A">
          <w:rPr>
            <w:rStyle w:val="Hyperlink"/>
            <w:sz w:val="22"/>
            <w:szCs w:val="22"/>
          </w:rPr>
          <w:t xml:space="preserve"> </w:t>
        </w:r>
        <w:proofErr w:type="spellStart"/>
        <w:r w:rsidR="00D3389E" w:rsidRPr="00EE5F1A">
          <w:rPr>
            <w:rStyle w:val="Hyperlink"/>
            <w:sz w:val="22"/>
            <w:szCs w:val="22"/>
          </w:rPr>
          <w:t>ao</w:t>
        </w:r>
        <w:proofErr w:type="spellEnd"/>
        <w:r w:rsidR="00D3389E" w:rsidRPr="00EE5F1A">
          <w:rPr>
            <w:rStyle w:val="Hyperlink"/>
            <w:sz w:val="22"/>
            <w:szCs w:val="22"/>
          </w:rPr>
          <w:t xml:space="preserve"> Māori considerations</w:t>
        </w:r>
      </w:hyperlink>
    </w:p>
    <w:p w14:paraId="194E76BA" w14:textId="77777777" w:rsidR="00AC6338" w:rsidRPr="00EE5F1A" w:rsidRDefault="00000000" w:rsidP="00EE5F1A">
      <w:pPr>
        <w:pStyle w:val="ListParagraph"/>
        <w:numPr>
          <w:ilvl w:val="0"/>
          <w:numId w:val="40"/>
        </w:numPr>
        <w:ind w:left="426"/>
        <w:rPr>
          <w:sz w:val="22"/>
          <w:szCs w:val="22"/>
        </w:rPr>
      </w:pPr>
      <w:hyperlink r:id="rId39">
        <w:r w:rsidR="00D3389E" w:rsidRPr="00EE5F1A">
          <w:rPr>
            <w:rStyle w:val="Hyperlink"/>
            <w:sz w:val="22"/>
            <w:szCs w:val="22"/>
          </w:rPr>
          <w:t>Kaitiakitanga with Tame Malcolm</w:t>
        </w:r>
      </w:hyperlink>
      <w:r w:rsidR="00D3389E" w:rsidRPr="00EE5F1A">
        <w:rPr>
          <w:sz w:val="22"/>
          <w:szCs w:val="22"/>
        </w:rPr>
        <w:t xml:space="preserve"> – webinar</w:t>
      </w:r>
    </w:p>
    <w:p w14:paraId="194E76BB" w14:textId="77777777" w:rsidR="00AC6338" w:rsidRPr="00EE5F1A" w:rsidRDefault="00000000" w:rsidP="00EE5F1A">
      <w:pPr>
        <w:pStyle w:val="ListParagraph"/>
        <w:numPr>
          <w:ilvl w:val="0"/>
          <w:numId w:val="40"/>
        </w:numPr>
        <w:ind w:left="426"/>
        <w:rPr>
          <w:sz w:val="22"/>
          <w:szCs w:val="22"/>
        </w:rPr>
      </w:pPr>
      <w:hyperlink r:id="rId40">
        <w:r w:rsidR="00D3389E" w:rsidRPr="00EE5F1A">
          <w:rPr>
            <w:rStyle w:val="Hyperlink"/>
            <w:sz w:val="22"/>
            <w:szCs w:val="22"/>
          </w:rPr>
          <w:t>Tame Malcolm – indigenous pest management</w:t>
        </w:r>
      </w:hyperlink>
      <w:r w:rsidR="00D3389E" w:rsidRPr="00EE5F1A">
        <w:rPr>
          <w:sz w:val="22"/>
          <w:szCs w:val="22"/>
        </w:rPr>
        <w:t xml:space="preserve"> – webinar</w:t>
      </w:r>
    </w:p>
    <w:p w14:paraId="194E76BC" w14:textId="77777777" w:rsidR="00AC6338" w:rsidRDefault="00AC6338">
      <w:pPr>
        <w:rPr>
          <w:sz w:val="22"/>
          <w:szCs w:val="22"/>
        </w:rPr>
      </w:pPr>
    </w:p>
    <w:p w14:paraId="194E76BD" w14:textId="77777777" w:rsidR="00AC6338" w:rsidRPr="00EE5F1A" w:rsidRDefault="00D3389E">
      <w:pPr>
        <w:rPr>
          <w:b/>
          <w:bCs/>
          <w:iCs/>
          <w:sz w:val="22"/>
          <w:szCs w:val="22"/>
        </w:rPr>
      </w:pPr>
      <w:r w:rsidRPr="00EE5F1A">
        <w:rPr>
          <w:b/>
          <w:bCs/>
          <w:iCs/>
          <w:sz w:val="22"/>
          <w:szCs w:val="22"/>
        </w:rPr>
        <w:t>New Zealand Government reports and regulations</w:t>
      </w:r>
    </w:p>
    <w:p w14:paraId="194E76BE" w14:textId="77777777" w:rsidR="00AC6338" w:rsidRPr="00EE5F1A" w:rsidRDefault="00000000" w:rsidP="00EE5F1A">
      <w:pPr>
        <w:pStyle w:val="ListParagraph"/>
        <w:numPr>
          <w:ilvl w:val="0"/>
          <w:numId w:val="41"/>
        </w:numPr>
        <w:ind w:left="426"/>
        <w:rPr>
          <w:sz w:val="22"/>
          <w:szCs w:val="22"/>
        </w:rPr>
      </w:pPr>
      <w:hyperlink r:id="rId41">
        <w:r w:rsidR="00D3389E" w:rsidRPr="00EE5F1A">
          <w:rPr>
            <w:rStyle w:val="Hyperlink"/>
            <w:sz w:val="22"/>
            <w:szCs w:val="22"/>
          </w:rPr>
          <w:t>Genetic modification – the New Zealand approach</w:t>
        </w:r>
      </w:hyperlink>
      <w:r w:rsidR="00D3389E" w:rsidRPr="00EE5F1A">
        <w:rPr>
          <w:sz w:val="22"/>
          <w:szCs w:val="22"/>
        </w:rPr>
        <w:t xml:space="preserve"> – Ministry for the Environment, 2004</w:t>
      </w:r>
    </w:p>
    <w:p w14:paraId="194E76BF" w14:textId="77777777" w:rsidR="00AC6338" w:rsidRPr="00EE5F1A" w:rsidRDefault="00000000" w:rsidP="00EE5F1A">
      <w:pPr>
        <w:pStyle w:val="ListParagraph"/>
        <w:numPr>
          <w:ilvl w:val="0"/>
          <w:numId w:val="41"/>
        </w:numPr>
        <w:ind w:left="426"/>
        <w:rPr>
          <w:sz w:val="22"/>
          <w:szCs w:val="22"/>
        </w:rPr>
      </w:pPr>
      <w:hyperlink r:id="rId42">
        <w:r w:rsidR="00D3389E" w:rsidRPr="00EE5F1A">
          <w:rPr>
            <w:rStyle w:val="Hyperlink"/>
            <w:sz w:val="22"/>
            <w:szCs w:val="22"/>
          </w:rPr>
          <w:t>Hazardous Substances and New Organisms Act 1996</w:t>
        </w:r>
      </w:hyperlink>
      <w:r w:rsidR="00D3389E" w:rsidRPr="00EE5F1A">
        <w:rPr>
          <w:sz w:val="22"/>
          <w:szCs w:val="22"/>
        </w:rPr>
        <w:t xml:space="preserve"> – New Zealand Legislation, 1996</w:t>
      </w:r>
    </w:p>
    <w:p w14:paraId="194E76C0" w14:textId="77777777" w:rsidR="00AC6338" w:rsidRPr="00EE5F1A" w:rsidRDefault="00000000" w:rsidP="00EE5F1A">
      <w:pPr>
        <w:pStyle w:val="ListParagraph"/>
        <w:numPr>
          <w:ilvl w:val="0"/>
          <w:numId w:val="41"/>
        </w:numPr>
        <w:ind w:left="426"/>
        <w:rPr>
          <w:sz w:val="22"/>
          <w:szCs w:val="22"/>
        </w:rPr>
      </w:pPr>
      <w:hyperlink r:id="rId43">
        <w:r w:rsidR="00D3389E" w:rsidRPr="00EE5F1A">
          <w:rPr>
            <w:rStyle w:val="Hyperlink"/>
            <w:sz w:val="22"/>
            <w:szCs w:val="22"/>
          </w:rPr>
          <w:t>Report of the Royal Commission on Genetic Modification</w:t>
        </w:r>
      </w:hyperlink>
      <w:r w:rsidR="00D3389E" w:rsidRPr="00EE5F1A">
        <w:rPr>
          <w:sz w:val="22"/>
          <w:szCs w:val="22"/>
        </w:rPr>
        <w:t xml:space="preserve"> – Ministry for the Environment, 2001</w:t>
      </w:r>
    </w:p>
    <w:p w14:paraId="194E76C1" w14:textId="77777777" w:rsidR="00AC6338" w:rsidRDefault="00AC6338">
      <w:pPr>
        <w:rPr>
          <w:sz w:val="22"/>
          <w:szCs w:val="22"/>
        </w:rPr>
      </w:pPr>
    </w:p>
    <w:p w14:paraId="194E76C2" w14:textId="77777777" w:rsidR="00AC6338" w:rsidRPr="00EE5F1A" w:rsidRDefault="00D3389E">
      <w:pPr>
        <w:rPr>
          <w:b/>
          <w:bCs/>
          <w:iCs/>
          <w:sz w:val="22"/>
          <w:szCs w:val="22"/>
        </w:rPr>
      </w:pPr>
      <w:r w:rsidRPr="00EE5F1A">
        <w:rPr>
          <w:b/>
          <w:bCs/>
          <w:iCs/>
          <w:sz w:val="22"/>
          <w:szCs w:val="22"/>
        </w:rPr>
        <w:t>New Zealand science organisations</w:t>
      </w:r>
    </w:p>
    <w:p w14:paraId="194E76C4" w14:textId="34F5EDBA" w:rsidR="00AC6338" w:rsidRPr="002F2F4F" w:rsidRDefault="00000000" w:rsidP="002F2F4F">
      <w:pPr>
        <w:pStyle w:val="ListParagraph"/>
        <w:numPr>
          <w:ilvl w:val="0"/>
          <w:numId w:val="42"/>
        </w:numPr>
        <w:ind w:left="426"/>
        <w:rPr>
          <w:sz w:val="22"/>
          <w:szCs w:val="22"/>
        </w:rPr>
      </w:pPr>
      <w:hyperlink r:id="rId44">
        <w:r w:rsidR="00D3389E" w:rsidRPr="00EE5F1A">
          <w:rPr>
            <w:rStyle w:val="Hyperlink"/>
            <w:sz w:val="22"/>
            <w:szCs w:val="22"/>
          </w:rPr>
          <w:t>Our views on genetic modification</w:t>
        </w:r>
      </w:hyperlink>
      <w:r w:rsidR="00D3389E" w:rsidRPr="00EE5F1A">
        <w:rPr>
          <w:sz w:val="22"/>
          <w:szCs w:val="22"/>
        </w:rPr>
        <w:t xml:space="preserve"> – Plant &amp; Food Research</w:t>
      </w:r>
    </w:p>
    <w:p w14:paraId="194E76C5" w14:textId="77777777" w:rsidR="00AC6338" w:rsidRPr="00EE5F1A" w:rsidRDefault="00000000" w:rsidP="00EE5F1A">
      <w:pPr>
        <w:pStyle w:val="ListParagraph"/>
        <w:numPr>
          <w:ilvl w:val="0"/>
          <w:numId w:val="42"/>
        </w:numPr>
        <w:ind w:left="426"/>
        <w:rPr>
          <w:sz w:val="22"/>
          <w:szCs w:val="22"/>
        </w:rPr>
      </w:pPr>
      <w:hyperlink r:id="rId45">
        <w:r w:rsidR="00D3389E" w:rsidRPr="00EE5F1A">
          <w:rPr>
            <w:rStyle w:val="Hyperlink"/>
            <w:sz w:val="22"/>
            <w:szCs w:val="22"/>
          </w:rPr>
          <w:t>Public perceptions of new pest control methods</w:t>
        </w:r>
      </w:hyperlink>
      <w:r w:rsidR="00D3389E" w:rsidRPr="00EE5F1A">
        <w:rPr>
          <w:sz w:val="22"/>
          <w:szCs w:val="22"/>
        </w:rPr>
        <w:t xml:space="preserve"> – </w:t>
      </w:r>
      <w:proofErr w:type="spellStart"/>
      <w:r w:rsidR="00D3389E" w:rsidRPr="00EE5F1A">
        <w:rPr>
          <w:sz w:val="22"/>
          <w:szCs w:val="22"/>
        </w:rPr>
        <w:t>BioHeritage</w:t>
      </w:r>
      <w:proofErr w:type="spellEnd"/>
      <w:r w:rsidR="00D3389E" w:rsidRPr="00EE5F1A">
        <w:rPr>
          <w:sz w:val="22"/>
          <w:szCs w:val="22"/>
        </w:rPr>
        <w:t xml:space="preserve"> National Science Challenge</w:t>
      </w:r>
    </w:p>
    <w:p w14:paraId="194E76C6" w14:textId="77777777" w:rsidR="00AC6338" w:rsidRPr="00EE5F1A" w:rsidRDefault="00000000" w:rsidP="00EE5F1A">
      <w:pPr>
        <w:pStyle w:val="ListParagraph"/>
        <w:numPr>
          <w:ilvl w:val="0"/>
          <w:numId w:val="42"/>
        </w:numPr>
        <w:ind w:left="426"/>
        <w:rPr>
          <w:sz w:val="22"/>
          <w:szCs w:val="22"/>
        </w:rPr>
      </w:pPr>
      <w:hyperlink r:id="rId46">
        <w:r w:rsidR="00D3389E" w:rsidRPr="00EE5F1A">
          <w:rPr>
            <w:rStyle w:val="Hyperlink"/>
            <w:sz w:val="22"/>
            <w:szCs w:val="22"/>
          </w:rPr>
          <w:t>Gene editing</w:t>
        </w:r>
      </w:hyperlink>
      <w:r w:rsidR="00D3389E" w:rsidRPr="00EE5F1A">
        <w:rPr>
          <w:sz w:val="22"/>
          <w:szCs w:val="22"/>
        </w:rPr>
        <w:t xml:space="preserve"> – Office of the Prime Minister’s Chief Science Advisor</w:t>
      </w:r>
    </w:p>
    <w:p w14:paraId="194E76C7" w14:textId="77777777" w:rsidR="00AC6338" w:rsidRPr="00EE5F1A" w:rsidRDefault="00000000" w:rsidP="00EE5F1A">
      <w:pPr>
        <w:pStyle w:val="ListParagraph"/>
        <w:numPr>
          <w:ilvl w:val="0"/>
          <w:numId w:val="42"/>
        </w:numPr>
        <w:ind w:left="426"/>
        <w:rPr>
          <w:sz w:val="22"/>
          <w:szCs w:val="22"/>
        </w:rPr>
      </w:pPr>
      <w:hyperlink r:id="rId47">
        <w:r w:rsidR="00D3389E" w:rsidRPr="00EE5F1A">
          <w:rPr>
            <w:rStyle w:val="Hyperlink"/>
            <w:sz w:val="22"/>
            <w:szCs w:val="22"/>
          </w:rPr>
          <w:t>Gene editing in Aotearoa</w:t>
        </w:r>
      </w:hyperlink>
      <w:r w:rsidR="00D3389E" w:rsidRPr="00EE5F1A">
        <w:rPr>
          <w:sz w:val="22"/>
          <w:szCs w:val="22"/>
        </w:rPr>
        <w:t xml:space="preserve"> – Royal Society Te Apārangi</w:t>
      </w:r>
    </w:p>
    <w:p w14:paraId="194E76C8" w14:textId="77777777" w:rsidR="00AC6338" w:rsidRPr="00EE5F1A" w:rsidRDefault="00000000" w:rsidP="00EE5F1A">
      <w:pPr>
        <w:pStyle w:val="ListParagraph"/>
        <w:numPr>
          <w:ilvl w:val="0"/>
          <w:numId w:val="42"/>
        </w:numPr>
        <w:ind w:left="426"/>
        <w:rPr>
          <w:sz w:val="22"/>
          <w:szCs w:val="22"/>
        </w:rPr>
      </w:pPr>
      <w:hyperlink r:id="rId48">
        <w:r w:rsidR="00D3389E" w:rsidRPr="00EE5F1A">
          <w:rPr>
            <w:rStyle w:val="Hyperlink"/>
            <w:sz w:val="22"/>
            <w:szCs w:val="22"/>
          </w:rPr>
          <w:t>Gene editing: Reflections from the panel co-chairs</w:t>
        </w:r>
      </w:hyperlink>
      <w:r w:rsidR="00D3389E" w:rsidRPr="00EE5F1A">
        <w:rPr>
          <w:sz w:val="22"/>
          <w:szCs w:val="22"/>
        </w:rPr>
        <w:t xml:space="preserve"> – Royal Society Te Apārangi</w:t>
      </w:r>
    </w:p>
    <w:p w14:paraId="194E76C9" w14:textId="77777777" w:rsidR="00AC6338" w:rsidRPr="00EE5F1A" w:rsidRDefault="00000000" w:rsidP="00EE5F1A">
      <w:pPr>
        <w:pStyle w:val="ListParagraph"/>
        <w:numPr>
          <w:ilvl w:val="0"/>
          <w:numId w:val="42"/>
        </w:numPr>
        <w:ind w:left="426"/>
        <w:rPr>
          <w:sz w:val="22"/>
          <w:szCs w:val="22"/>
        </w:rPr>
      </w:pPr>
      <w:hyperlink r:id="rId49">
        <w:r w:rsidR="00D3389E" w:rsidRPr="00EE5F1A">
          <w:rPr>
            <w:rStyle w:val="Hyperlink"/>
            <w:sz w:val="22"/>
            <w:szCs w:val="22"/>
          </w:rPr>
          <w:t>Gene editing for pest control</w:t>
        </w:r>
      </w:hyperlink>
      <w:r w:rsidR="00D3389E" w:rsidRPr="00EE5F1A">
        <w:rPr>
          <w:sz w:val="22"/>
          <w:szCs w:val="22"/>
        </w:rPr>
        <w:t xml:space="preserve"> – Royal Society Te Apārangi</w:t>
      </w:r>
    </w:p>
    <w:sectPr w:rsidR="00AC6338" w:rsidRPr="00EE5F1A">
      <w:footerReference w:type="default" r:id="rId50"/>
      <w:pgSz w:w="11907" w:h="16840"/>
      <w:pgMar w:top="1134" w:right="1134" w:bottom="1134" w:left="1134" w:header="46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41D60" w14:textId="77777777" w:rsidR="00EE25C6" w:rsidRDefault="00EE25C6">
      <w:r>
        <w:separator/>
      </w:r>
    </w:p>
  </w:endnote>
  <w:endnote w:type="continuationSeparator" w:id="0">
    <w:p w14:paraId="42E79441" w14:textId="77777777" w:rsidR="00EE25C6" w:rsidRDefault="00EE2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0DBF" w14:textId="77777777" w:rsidR="00EE5F1A" w:rsidRDefault="00EE5F1A" w:rsidP="00EE5F1A">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9</w:t>
    </w:r>
    <w:r>
      <w:rPr>
        <w:sz w:val="18"/>
        <w:szCs w:val="18"/>
      </w:rPr>
      <w:fldChar w:fldCharType="end"/>
    </w:r>
    <w:r>
      <w:rPr>
        <w:color w:val="3366FF"/>
        <w:sz w:val="18"/>
        <w:szCs w:val="18"/>
      </w:rPr>
      <w:t xml:space="preserve"> </w:t>
    </w:r>
  </w:p>
  <w:bookmarkStart w:id="1" w:name="_heading=h.lnxbz9" w:colFirst="0" w:colLast="0"/>
  <w:bookmarkEnd w:id="1"/>
  <w:p w14:paraId="16395C13" w14:textId="39698939" w:rsidR="00EE5F1A" w:rsidRPr="00EE5F1A" w:rsidRDefault="00EE5F1A" w:rsidP="00EE5F1A">
    <w:pPr>
      <w:tabs>
        <w:tab w:val="center" w:pos="4320"/>
        <w:tab w:val="right" w:pos="864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76E1" w14:textId="228563EA" w:rsidR="00AC6338" w:rsidRDefault="00D3389E">
    <w:pPr>
      <w:tabs>
        <w:tab w:val="center" w:pos="432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sidR="00EE5F1A">
      <w:rPr>
        <w:noProof/>
        <w:sz w:val="18"/>
        <w:szCs w:val="18"/>
      </w:rPr>
      <w:t>3</w:t>
    </w:r>
    <w:r>
      <w:rPr>
        <w:sz w:val="18"/>
        <w:szCs w:val="18"/>
      </w:rPr>
      <w:fldChar w:fldCharType="end"/>
    </w:r>
    <w:r>
      <w:rPr>
        <w:color w:val="3366FF"/>
        <w:sz w:val="18"/>
        <w:szCs w:val="18"/>
      </w:rPr>
      <w:t xml:space="preserve"> </w:t>
    </w:r>
  </w:p>
  <w:p w14:paraId="194E76E2" w14:textId="77777777" w:rsidR="00AC6338" w:rsidRDefault="00000000">
    <w:pPr>
      <w:tabs>
        <w:tab w:val="center" w:pos="4320"/>
        <w:tab w:val="right" w:pos="8640"/>
      </w:tabs>
      <w:ind w:right="360"/>
      <w:rPr>
        <w:color w:val="3366FF"/>
      </w:rPr>
    </w:pPr>
    <w:hyperlink r:id="rId1">
      <w:r w:rsidR="00D3389E">
        <w:rPr>
          <w:color w:val="0000FF"/>
          <w:sz w:val="18"/>
          <w:szCs w:val="18"/>
          <w:u w:val="single"/>
        </w:rPr>
        <w:t>www.sciencelearn.org.nz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76E3" w14:textId="7256DFF9" w:rsidR="00AC6338" w:rsidRDefault="00D3389E">
    <w:pPr>
      <w:tabs>
        <w:tab w:val="center" w:pos="432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sidR="00EE5F1A">
      <w:rPr>
        <w:noProof/>
        <w:sz w:val="18"/>
        <w:szCs w:val="18"/>
      </w:rPr>
      <w:t>8</w:t>
    </w:r>
    <w:r>
      <w:rPr>
        <w:sz w:val="18"/>
        <w:szCs w:val="18"/>
      </w:rPr>
      <w:fldChar w:fldCharType="end"/>
    </w:r>
    <w:r>
      <w:rPr>
        <w:color w:val="3366FF"/>
        <w:sz w:val="18"/>
        <w:szCs w:val="18"/>
      </w:rPr>
      <w:t xml:space="preserve"> </w:t>
    </w:r>
  </w:p>
  <w:p w14:paraId="194E76E4" w14:textId="77777777" w:rsidR="00AC6338" w:rsidRDefault="00000000">
    <w:pPr>
      <w:tabs>
        <w:tab w:val="center" w:pos="4320"/>
        <w:tab w:val="right" w:pos="8640"/>
      </w:tabs>
      <w:ind w:right="360"/>
      <w:rPr>
        <w:color w:val="3366FF"/>
      </w:rPr>
    </w:pPr>
    <w:hyperlink r:id="rId1">
      <w:r w:rsidR="00D3389E">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6F342" w14:textId="77777777" w:rsidR="00EE25C6" w:rsidRDefault="00EE25C6">
      <w:r>
        <w:separator/>
      </w:r>
    </w:p>
  </w:footnote>
  <w:footnote w:type="continuationSeparator" w:id="0">
    <w:p w14:paraId="447BEDB2" w14:textId="77777777" w:rsidR="00EE25C6" w:rsidRDefault="00EE2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76DB" w14:textId="77777777" w:rsidR="00AC6338" w:rsidRDefault="00D3389E">
    <w:pPr>
      <w:spacing w:line="276" w:lineRule="auto"/>
    </w:pPr>
    <w:r>
      <w:rPr>
        <w:noProof/>
      </w:rPr>
      <w:drawing>
        <wp:anchor distT="0" distB="0" distL="114300" distR="114300" simplePos="0" relativeHeight="251658240" behindDoc="0" locked="0" layoutInCell="1" hidden="0" allowOverlap="1" wp14:anchorId="194E76E5" wp14:editId="194E76E6">
          <wp:simplePos x="0" y="0"/>
          <wp:positionH relativeFrom="column">
            <wp:posOffset>-142873</wp:posOffset>
          </wp:positionH>
          <wp:positionV relativeFrom="paragraph">
            <wp:posOffset>-19048</wp:posOffset>
          </wp:positionV>
          <wp:extent cx="1378038" cy="587693"/>
          <wp:effectExtent l="0" t="0" r="0" b="0"/>
          <wp:wrapNone/>
          <wp:docPr id="12" name="image3.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3.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4"/>
      <w:tblW w:w="9634" w:type="dxa"/>
      <w:tblInd w:w="5" w:type="dxa"/>
      <w:tblLayout w:type="fixed"/>
      <w:tblLook w:val="0400" w:firstRow="0" w:lastRow="0" w:firstColumn="0" w:lastColumn="0" w:noHBand="0" w:noVBand="1"/>
    </w:tblPr>
    <w:tblGrid>
      <w:gridCol w:w="1980"/>
      <w:gridCol w:w="7654"/>
    </w:tblGrid>
    <w:tr w:rsidR="00AC6338" w14:paraId="194E76DF" w14:textId="77777777">
      <w:tc>
        <w:tcPr>
          <w:tcW w:w="1980" w:type="dxa"/>
          <w:shd w:val="clear" w:color="auto" w:fill="auto"/>
        </w:tcPr>
        <w:p w14:paraId="194E76DC" w14:textId="77777777" w:rsidR="00AC6338" w:rsidRDefault="00AC6338">
          <w:pPr>
            <w:tabs>
              <w:tab w:val="center" w:pos="4513"/>
              <w:tab w:val="right" w:pos="9026"/>
            </w:tabs>
            <w:rPr>
              <w:color w:val="3366FF"/>
            </w:rPr>
          </w:pPr>
        </w:p>
      </w:tc>
      <w:tc>
        <w:tcPr>
          <w:tcW w:w="7654" w:type="dxa"/>
          <w:shd w:val="clear" w:color="auto" w:fill="auto"/>
          <w:vAlign w:val="center"/>
        </w:tcPr>
        <w:p w14:paraId="194E76DD" w14:textId="77777777" w:rsidR="00AC6338" w:rsidRDefault="00D3389E">
          <w:pPr>
            <w:rPr>
              <w:color w:val="3366FF"/>
            </w:rPr>
          </w:pPr>
          <w:r>
            <w:rPr>
              <w:color w:val="3366FF"/>
            </w:rPr>
            <w:t>Activity: RNAi – making science-informed responses</w:t>
          </w:r>
        </w:p>
        <w:p w14:paraId="194E76DE" w14:textId="77777777" w:rsidR="00AC6338" w:rsidRDefault="00AC6338">
          <w:pPr>
            <w:rPr>
              <w:color w:val="3366FF"/>
            </w:rPr>
          </w:pPr>
        </w:p>
      </w:tc>
    </w:tr>
  </w:tbl>
  <w:p w14:paraId="194E76E0" w14:textId="77777777" w:rsidR="00AC6338" w:rsidRDefault="00AC63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B21"/>
    <w:multiLevelType w:val="multilevel"/>
    <w:tmpl w:val="AB06713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402732C"/>
    <w:multiLevelType w:val="multilevel"/>
    <w:tmpl w:val="7FA21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38052D"/>
    <w:multiLevelType w:val="hybridMultilevel"/>
    <w:tmpl w:val="65864A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D84AE6"/>
    <w:multiLevelType w:val="multilevel"/>
    <w:tmpl w:val="26F4D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3657EE"/>
    <w:multiLevelType w:val="multilevel"/>
    <w:tmpl w:val="1C204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DE5586"/>
    <w:multiLevelType w:val="multilevel"/>
    <w:tmpl w:val="5D54F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F241B3"/>
    <w:multiLevelType w:val="hybridMultilevel"/>
    <w:tmpl w:val="5E7645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760D64"/>
    <w:multiLevelType w:val="multilevel"/>
    <w:tmpl w:val="AED6F494"/>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188A20FC"/>
    <w:multiLevelType w:val="multilevel"/>
    <w:tmpl w:val="165E9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957D24"/>
    <w:multiLevelType w:val="multilevel"/>
    <w:tmpl w:val="21A055B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C0A6DE2"/>
    <w:multiLevelType w:val="multilevel"/>
    <w:tmpl w:val="97482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A42C29"/>
    <w:multiLevelType w:val="multilevel"/>
    <w:tmpl w:val="9A66E944"/>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E26CB4"/>
    <w:multiLevelType w:val="hybridMultilevel"/>
    <w:tmpl w:val="234A1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1E7D50"/>
    <w:multiLevelType w:val="hybridMultilevel"/>
    <w:tmpl w:val="7194B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F716512"/>
    <w:multiLevelType w:val="multilevel"/>
    <w:tmpl w:val="65EEF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9127E8"/>
    <w:multiLevelType w:val="multilevel"/>
    <w:tmpl w:val="4126C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460946"/>
    <w:multiLevelType w:val="multilevel"/>
    <w:tmpl w:val="CE4A815A"/>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15:restartNumberingAfterBreak="0">
    <w:nsid w:val="2C7828FB"/>
    <w:multiLevelType w:val="multilevel"/>
    <w:tmpl w:val="CDCCA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FF5242"/>
    <w:multiLevelType w:val="multilevel"/>
    <w:tmpl w:val="DB8C3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837D84"/>
    <w:multiLevelType w:val="multilevel"/>
    <w:tmpl w:val="0C8478F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31A36F96"/>
    <w:multiLevelType w:val="multilevel"/>
    <w:tmpl w:val="5C92C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1AA0C23"/>
    <w:multiLevelType w:val="multilevel"/>
    <w:tmpl w:val="9C54C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301875"/>
    <w:multiLevelType w:val="multilevel"/>
    <w:tmpl w:val="CBB8C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870570"/>
    <w:multiLevelType w:val="hybridMultilevel"/>
    <w:tmpl w:val="A8DEF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634770D"/>
    <w:multiLevelType w:val="multilevel"/>
    <w:tmpl w:val="2398F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4224E0"/>
    <w:multiLevelType w:val="multilevel"/>
    <w:tmpl w:val="BEB47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3567DC"/>
    <w:multiLevelType w:val="multilevel"/>
    <w:tmpl w:val="767E3C7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4B071A9E"/>
    <w:multiLevelType w:val="multilevel"/>
    <w:tmpl w:val="9678006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8" w15:restartNumberingAfterBreak="0">
    <w:nsid w:val="4C9522A3"/>
    <w:multiLevelType w:val="hybridMultilevel"/>
    <w:tmpl w:val="03486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C9C4805"/>
    <w:multiLevelType w:val="multilevel"/>
    <w:tmpl w:val="6B74E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61453F"/>
    <w:multiLevelType w:val="multilevel"/>
    <w:tmpl w:val="6470AEC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3529EA"/>
    <w:multiLevelType w:val="multilevel"/>
    <w:tmpl w:val="43964FD4"/>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515616"/>
    <w:multiLevelType w:val="multilevel"/>
    <w:tmpl w:val="84623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DE7917"/>
    <w:multiLevelType w:val="multilevel"/>
    <w:tmpl w:val="94448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1831DF1"/>
    <w:multiLevelType w:val="multilevel"/>
    <w:tmpl w:val="9C40B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B47E71"/>
    <w:multiLevelType w:val="multilevel"/>
    <w:tmpl w:val="06AE9A8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15:restartNumberingAfterBreak="0">
    <w:nsid w:val="661C1918"/>
    <w:multiLevelType w:val="multilevel"/>
    <w:tmpl w:val="AA90F6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662B3EF0"/>
    <w:multiLevelType w:val="multilevel"/>
    <w:tmpl w:val="72F21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4C2E70"/>
    <w:multiLevelType w:val="multilevel"/>
    <w:tmpl w:val="93C0C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9E6BFA"/>
    <w:multiLevelType w:val="multilevel"/>
    <w:tmpl w:val="597ED29C"/>
    <w:lvl w:ilvl="0">
      <w:start w:val="1"/>
      <w:numFmt w:val="bullet"/>
      <w:lvlText w:val="●"/>
      <w:lvlJc w:val="left"/>
      <w:pPr>
        <w:ind w:left="360" w:hanging="360"/>
      </w:pPr>
      <w:rPr>
        <w:sz w:val="20"/>
        <w:szCs w:val="2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6B57429A"/>
    <w:multiLevelType w:val="multilevel"/>
    <w:tmpl w:val="89F63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D70DB9"/>
    <w:multiLevelType w:val="multilevel"/>
    <w:tmpl w:val="45EA6D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731661751">
    <w:abstractNumId w:val="41"/>
  </w:num>
  <w:num w:numId="2" w16cid:durableId="356080656">
    <w:abstractNumId w:val="31"/>
  </w:num>
  <w:num w:numId="3" w16cid:durableId="926304056">
    <w:abstractNumId w:val="37"/>
  </w:num>
  <w:num w:numId="4" w16cid:durableId="1202942883">
    <w:abstractNumId w:val="14"/>
  </w:num>
  <w:num w:numId="5" w16cid:durableId="549535291">
    <w:abstractNumId w:val="4"/>
  </w:num>
  <w:num w:numId="6" w16cid:durableId="238447026">
    <w:abstractNumId w:val="16"/>
  </w:num>
  <w:num w:numId="7" w16cid:durableId="2079936278">
    <w:abstractNumId w:val="1"/>
  </w:num>
  <w:num w:numId="8" w16cid:durableId="937981915">
    <w:abstractNumId w:val="36"/>
  </w:num>
  <w:num w:numId="9" w16cid:durableId="1136139027">
    <w:abstractNumId w:val="21"/>
  </w:num>
  <w:num w:numId="10" w16cid:durableId="1201749247">
    <w:abstractNumId w:val="25"/>
  </w:num>
  <w:num w:numId="11" w16cid:durableId="1427381162">
    <w:abstractNumId w:val="9"/>
  </w:num>
  <w:num w:numId="12" w16cid:durableId="523909738">
    <w:abstractNumId w:val="19"/>
  </w:num>
  <w:num w:numId="13" w16cid:durableId="1018972347">
    <w:abstractNumId w:val="7"/>
  </w:num>
  <w:num w:numId="14" w16cid:durableId="1336222924">
    <w:abstractNumId w:val="17"/>
  </w:num>
  <w:num w:numId="15" w16cid:durableId="843545395">
    <w:abstractNumId w:val="18"/>
  </w:num>
  <w:num w:numId="16" w16cid:durableId="501744647">
    <w:abstractNumId w:val="39"/>
  </w:num>
  <w:num w:numId="17" w16cid:durableId="975573848">
    <w:abstractNumId w:val="26"/>
  </w:num>
  <w:num w:numId="18" w16cid:durableId="1361011304">
    <w:abstractNumId w:val="27"/>
  </w:num>
  <w:num w:numId="19" w16cid:durableId="2081560620">
    <w:abstractNumId w:val="20"/>
  </w:num>
  <w:num w:numId="20" w16cid:durableId="465780827">
    <w:abstractNumId w:val="38"/>
  </w:num>
  <w:num w:numId="21" w16cid:durableId="1643274063">
    <w:abstractNumId w:val="3"/>
  </w:num>
  <w:num w:numId="22" w16cid:durableId="1117524827">
    <w:abstractNumId w:val="22"/>
  </w:num>
  <w:num w:numId="23" w16cid:durableId="1720862054">
    <w:abstractNumId w:val="5"/>
  </w:num>
  <w:num w:numId="24" w16cid:durableId="78261670">
    <w:abstractNumId w:val="35"/>
  </w:num>
  <w:num w:numId="25" w16cid:durableId="374932433">
    <w:abstractNumId w:val="15"/>
  </w:num>
  <w:num w:numId="26" w16cid:durableId="1630087000">
    <w:abstractNumId w:val="8"/>
  </w:num>
  <w:num w:numId="27" w16cid:durableId="2080248441">
    <w:abstractNumId w:val="34"/>
  </w:num>
  <w:num w:numId="28" w16cid:durableId="9188975">
    <w:abstractNumId w:val="30"/>
  </w:num>
  <w:num w:numId="29" w16cid:durableId="1967851762">
    <w:abstractNumId w:val="33"/>
  </w:num>
  <w:num w:numId="30" w16cid:durableId="1349915059">
    <w:abstractNumId w:val="40"/>
  </w:num>
  <w:num w:numId="31" w16cid:durableId="1574269405">
    <w:abstractNumId w:val="11"/>
  </w:num>
  <w:num w:numId="32" w16cid:durableId="187767538">
    <w:abstractNumId w:val="32"/>
  </w:num>
  <w:num w:numId="33" w16cid:durableId="1091438204">
    <w:abstractNumId w:val="29"/>
  </w:num>
  <w:num w:numId="34" w16cid:durableId="1602185148">
    <w:abstractNumId w:val="10"/>
  </w:num>
  <w:num w:numId="35" w16cid:durableId="993677578">
    <w:abstractNumId w:val="24"/>
  </w:num>
  <w:num w:numId="36" w16cid:durableId="1187670600">
    <w:abstractNumId w:val="0"/>
  </w:num>
  <w:num w:numId="37" w16cid:durableId="427510078">
    <w:abstractNumId w:val="12"/>
  </w:num>
  <w:num w:numId="38" w16cid:durableId="1172529982">
    <w:abstractNumId w:val="13"/>
  </w:num>
  <w:num w:numId="39" w16cid:durableId="1079328822">
    <w:abstractNumId w:val="2"/>
  </w:num>
  <w:num w:numId="40" w16cid:durableId="1178808411">
    <w:abstractNumId w:val="28"/>
  </w:num>
  <w:num w:numId="41" w16cid:durableId="221674241">
    <w:abstractNumId w:val="6"/>
  </w:num>
  <w:num w:numId="42" w16cid:durableId="154764005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338"/>
    <w:rsid w:val="000328CB"/>
    <w:rsid w:val="001A0E83"/>
    <w:rsid w:val="002F2F4F"/>
    <w:rsid w:val="00306949"/>
    <w:rsid w:val="004337C4"/>
    <w:rsid w:val="004B19B0"/>
    <w:rsid w:val="005E2C79"/>
    <w:rsid w:val="00AC6338"/>
    <w:rsid w:val="00C664D4"/>
    <w:rsid w:val="00CC1892"/>
    <w:rsid w:val="00CC70BE"/>
    <w:rsid w:val="00D3389E"/>
    <w:rsid w:val="00D50C22"/>
    <w:rsid w:val="00E01B0A"/>
    <w:rsid w:val="00EE25C6"/>
    <w:rsid w:val="00EE5F1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E7481"/>
  <w15:docId w15:val="{2F8149F2-2178-4358-94AE-CFCAD520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paragraph" w:styleId="Header">
    <w:name w:val="header"/>
    <w:basedOn w:val="Normal"/>
    <w:link w:val="HeaderChar"/>
    <w:uiPriority w:val="99"/>
    <w:unhideWhenUsed/>
    <w:rsid w:val="003834D5"/>
    <w:pPr>
      <w:tabs>
        <w:tab w:val="center" w:pos="4513"/>
        <w:tab w:val="right" w:pos="9026"/>
      </w:tabs>
    </w:pPr>
  </w:style>
  <w:style w:type="character" w:customStyle="1" w:styleId="HeaderChar">
    <w:name w:val="Header Char"/>
    <w:basedOn w:val="DefaultParagraphFont"/>
    <w:link w:val="Header"/>
    <w:uiPriority w:val="99"/>
    <w:rsid w:val="003834D5"/>
  </w:style>
  <w:style w:type="paragraph" w:styleId="Footer">
    <w:name w:val="footer"/>
    <w:basedOn w:val="Normal"/>
    <w:link w:val="FooterChar"/>
    <w:uiPriority w:val="99"/>
    <w:unhideWhenUsed/>
    <w:rsid w:val="003834D5"/>
    <w:pPr>
      <w:tabs>
        <w:tab w:val="center" w:pos="4513"/>
        <w:tab w:val="right" w:pos="9026"/>
      </w:tabs>
    </w:pPr>
  </w:style>
  <w:style w:type="character" w:customStyle="1" w:styleId="FooterChar">
    <w:name w:val="Footer Char"/>
    <w:basedOn w:val="DefaultParagraphFont"/>
    <w:link w:val="Footer"/>
    <w:uiPriority w:val="99"/>
    <w:rsid w:val="003834D5"/>
  </w:style>
  <w:style w:type="paragraph" w:styleId="Revision">
    <w:name w:val="Revision"/>
    <w:hidden/>
    <w:uiPriority w:val="99"/>
    <w:semiHidden/>
    <w:rsid w:val="00FC631A"/>
    <w:pPr>
      <w:widowControl/>
    </w:pPr>
  </w:style>
  <w:style w:type="character" w:styleId="CommentReference">
    <w:name w:val="annotation reference"/>
    <w:basedOn w:val="DefaultParagraphFont"/>
    <w:uiPriority w:val="99"/>
    <w:semiHidden/>
    <w:unhideWhenUsed/>
    <w:rsid w:val="00246350"/>
    <w:rPr>
      <w:sz w:val="16"/>
      <w:szCs w:val="16"/>
    </w:rPr>
  </w:style>
  <w:style w:type="paragraph" w:styleId="CommentText">
    <w:name w:val="annotation text"/>
    <w:basedOn w:val="Normal"/>
    <w:link w:val="CommentTextChar"/>
    <w:uiPriority w:val="99"/>
    <w:unhideWhenUsed/>
    <w:rsid w:val="00246350"/>
  </w:style>
  <w:style w:type="character" w:customStyle="1" w:styleId="CommentTextChar">
    <w:name w:val="Comment Text Char"/>
    <w:basedOn w:val="DefaultParagraphFont"/>
    <w:link w:val="CommentText"/>
    <w:uiPriority w:val="99"/>
    <w:rsid w:val="00246350"/>
  </w:style>
  <w:style w:type="paragraph" w:styleId="CommentSubject">
    <w:name w:val="annotation subject"/>
    <w:basedOn w:val="CommentText"/>
    <w:next w:val="CommentText"/>
    <w:link w:val="CommentSubjectChar"/>
    <w:uiPriority w:val="99"/>
    <w:semiHidden/>
    <w:unhideWhenUsed/>
    <w:rsid w:val="00246350"/>
    <w:rPr>
      <w:b/>
      <w:bCs/>
    </w:rPr>
  </w:style>
  <w:style w:type="character" w:customStyle="1" w:styleId="CommentSubjectChar">
    <w:name w:val="Comment Subject Char"/>
    <w:basedOn w:val="CommentTextChar"/>
    <w:link w:val="CommentSubject"/>
    <w:uiPriority w:val="99"/>
    <w:semiHidden/>
    <w:rsid w:val="00246350"/>
    <w:rPr>
      <w:b/>
      <w:bCs/>
    </w:rPr>
  </w:style>
  <w:style w:type="table" w:customStyle="1" w:styleId="aa">
    <w:basedOn w:val="TableNormal"/>
    <w:tblPr>
      <w:tblStyleRowBandSize w:val="1"/>
      <w:tblStyleColBandSize w:val="1"/>
      <w:tblCellMar>
        <w:top w:w="100" w:type="dxa"/>
        <w:left w:w="0" w:type="dxa"/>
        <w:bottom w:w="100" w:type="dxa"/>
        <w:right w:w="115" w:type="dxa"/>
      </w:tblCellMar>
    </w:tblPr>
  </w:style>
  <w:style w:type="table" w:customStyle="1" w:styleId="ab">
    <w:basedOn w:val="TableNormal"/>
    <w:tblPr>
      <w:tblStyleRowBandSize w:val="1"/>
      <w:tblStyleColBandSize w:val="1"/>
      <w:tblCellMar>
        <w:top w:w="100" w:type="dxa"/>
        <w:left w:w="0" w:type="dxa"/>
        <w:bottom w:w="100" w:type="dxa"/>
        <w:right w:w="115" w:type="dxa"/>
      </w:tblCellMar>
    </w:tblPr>
  </w:style>
  <w:style w:type="table" w:customStyle="1" w:styleId="ac">
    <w:basedOn w:val="TableNormal"/>
    <w:tblPr>
      <w:tblStyleRowBandSize w:val="1"/>
      <w:tblStyleColBandSize w:val="1"/>
      <w:tblCellMar>
        <w:top w:w="100" w:type="dxa"/>
        <w:left w:w="0" w:type="dxa"/>
        <w:bottom w:w="100" w:type="dxa"/>
        <w:right w:w="115" w:type="dxa"/>
      </w:tblCellMar>
    </w:tblPr>
  </w:style>
  <w:style w:type="table" w:customStyle="1" w:styleId="ad">
    <w:basedOn w:val="TableNormal"/>
    <w:tblPr>
      <w:tblStyleRowBandSize w:val="1"/>
      <w:tblStyleColBandSize w:val="1"/>
      <w:tblCellMar>
        <w:top w:w="100" w:type="dxa"/>
        <w:left w:w="0" w:type="dxa"/>
        <w:bottom w:w="100" w:type="dxa"/>
        <w:right w:w="115" w:type="dxa"/>
      </w:tblCellMar>
    </w:tblPr>
  </w:style>
  <w:style w:type="table" w:customStyle="1" w:styleId="ae">
    <w:basedOn w:val="TableNormal"/>
    <w:tblPr>
      <w:tblStyleRowBandSize w:val="1"/>
      <w:tblStyleColBandSize w:val="1"/>
      <w:tblCellMar>
        <w:top w:w="100" w:type="dxa"/>
        <w:left w:w="0" w:type="dxa"/>
        <w:bottom w:w="100" w:type="dxa"/>
        <w:right w:w="115" w:type="dxa"/>
      </w:tblCellMar>
    </w:tblPr>
  </w:style>
  <w:style w:type="table" w:customStyle="1" w:styleId="af">
    <w:basedOn w:val="TableNormal"/>
    <w:tblPr>
      <w:tblStyleRowBandSize w:val="1"/>
      <w:tblStyleColBandSize w:val="1"/>
      <w:tblCellMar>
        <w:top w:w="100" w:type="dxa"/>
        <w:left w:w="0" w:type="dxa"/>
        <w:bottom w:w="100" w:type="dxa"/>
        <w:right w:w="115" w:type="dxa"/>
      </w:tblCellMar>
    </w:tblPr>
  </w:style>
  <w:style w:type="table" w:customStyle="1" w:styleId="af0">
    <w:basedOn w:val="TableNormal"/>
    <w:tblPr>
      <w:tblStyleRowBandSize w:val="1"/>
      <w:tblStyleColBandSize w:val="1"/>
      <w:tblCellMar>
        <w:top w:w="100" w:type="dxa"/>
        <w:left w:w="0" w:type="dxa"/>
        <w:bottom w:w="100" w:type="dxa"/>
        <w:right w:w="115" w:type="dxa"/>
      </w:tblCellMar>
    </w:tblPr>
  </w:style>
  <w:style w:type="table" w:customStyle="1" w:styleId="af1">
    <w:basedOn w:val="TableNormal"/>
    <w:tblPr>
      <w:tblStyleRowBandSize w:val="1"/>
      <w:tblStyleColBandSize w:val="1"/>
      <w:tblCellMar>
        <w:top w:w="100" w:type="dxa"/>
        <w:left w:w="0" w:type="dxa"/>
        <w:bottom w:w="100" w:type="dxa"/>
        <w:right w:w="115" w:type="dxa"/>
      </w:tblCellMar>
    </w:tblPr>
  </w:style>
  <w:style w:type="table" w:customStyle="1" w:styleId="af2">
    <w:basedOn w:val="TableNormal"/>
    <w:tblPr>
      <w:tblStyleRowBandSize w:val="1"/>
      <w:tblStyleColBandSize w:val="1"/>
      <w:tblCellMar>
        <w:top w:w="100" w:type="dxa"/>
        <w:left w:w="0" w:type="dxa"/>
        <w:bottom w:w="100" w:type="dxa"/>
        <w:right w:w="115" w:type="dxa"/>
      </w:tblCellMar>
    </w:tblPr>
  </w:style>
  <w:style w:type="table" w:customStyle="1" w:styleId="af3">
    <w:basedOn w:val="TableNormal"/>
    <w:tblPr>
      <w:tblStyleRowBandSize w:val="1"/>
      <w:tblStyleColBandSize w:val="1"/>
      <w:tblCellMar>
        <w:top w:w="100" w:type="dxa"/>
        <w:left w:w="0" w:type="dxa"/>
        <w:bottom w:w="100" w:type="dxa"/>
        <w:right w:w="115" w:type="dxa"/>
      </w:tblCellMar>
    </w:tblPr>
  </w:style>
  <w:style w:type="table" w:customStyle="1" w:styleId="af4">
    <w:basedOn w:val="TableNormal"/>
    <w:tblPr>
      <w:tblStyleRowBandSize w:val="1"/>
      <w:tblStyleColBandSize w:val="1"/>
      <w:tblCellMar>
        <w:top w:w="100" w:type="dxa"/>
        <w:left w:w="0" w:type="dxa"/>
        <w:bottom w:w="100" w:type="dxa"/>
        <w:right w:w="115" w:type="dxa"/>
      </w:tblCellMar>
    </w:tblPr>
  </w:style>
  <w:style w:type="character" w:styleId="Hyperlink">
    <w:name w:val="Hyperlink"/>
    <w:basedOn w:val="DefaultParagraphFont"/>
    <w:uiPriority w:val="99"/>
    <w:unhideWhenUsed/>
    <w:qFormat/>
    <w:rsid w:val="00EE5F1A"/>
    <w:rPr>
      <w:color w:val="0000FF" w:themeColor="hyperlink"/>
      <w:u w:val="single"/>
    </w:rPr>
  </w:style>
  <w:style w:type="character" w:styleId="UnresolvedMention">
    <w:name w:val="Unresolved Mention"/>
    <w:basedOn w:val="DefaultParagraphFont"/>
    <w:uiPriority w:val="99"/>
    <w:semiHidden/>
    <w:unhideWhenUsed/>
    <w:rsid w:val="00EE5F1A"/>
    <w:rPr>
      <w:color w:val="605E5C"/>
      <w:shd w:val="clear" w:color="auto" w:fill="E1DFDD"/>
    </w:rPr>
  </w:style>
  <w:style w:type="paragraph" w:styleId="ListParagraph">
    <w:name w:val="List Paragraph"/>
    <w:basedOn w:val="Normal"/>
    <w:uiPriority w:val="34"/>
    <w:qFormat/>
    <w:rsid w:val="00EE5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cea.education.govt.nz/science/science/1/1?view=standard" TargetMode="External"/><Relationship Id="rId18" Type="http://schemas.openxmlformats.org/officeDocument/2006/relationships/image" Target="media/image4.png"/><Relationship Id="rId26" Type="http://schemas.openxmlformats.org/officeDocument/2006/relationships/hyperlink" Target="https://www.royalsociety.org.nz/what-we-do/our-expert-advice/all-expert-advice-papers/gene-editing-technologies/" TargetMode="External"/><Relationship Id="rId39" Type="http://schemas.openxmlformats.org/officeDocument/2006/relationships/hyperlink" Target="https://www.sciencelearn.org.nz/resources/3150-kaitiakitanga-with-tame-malcolm" TargetMode="External"/><Relationship Id="rId3" Type="http://schemas.openxmlformats.org/officeDocument/2006/relationships/styles" Target="styles.xml"/><Relationship Id="rId21" Type="http://schemas.openxmlformats.org/officeDocument/2006/relationships/hyperlink" Target="https://www.sciencelearn.org.nz/resources/3258-rna-interference" TargetMode="External"/><Relationship Id="rId34" Type="http://schemas.openxmlformats.org/officeDocument/2006/relationships/hyperlink" Target="https://www.sciencelearn.org.nz/images/3648-myrtle-rust-surveillance-map" TargetMode="External"/><Relationship Id="rId42" Type="http://schemas.openxmlformats.org/officeDocument/2006/relationships/hyperlink" Target="https://www.legislation.govt.nz/act/public/1996/0030/latest/DLM381222.html" TargetMode="External"/><Relationship Id="rId47" Type="http://schemas.openxmlformats.org/officeDocument/2006/relationships/hyperlink" Target="https://www.royalsociety.org.nz/major-issues-and-projects/gene-editing-in-aotearoa/"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ciencelearn.org.nz/resources/198-managing-classroom-discussions" TargetMode="External"/><Relationship Id="rId17" Type="http://schemas.openxmlformats.org/officeDocument/2006/relationships/image" Target="media/image3.png"/><Relationship Id="rId25" Type="http://schemas.openxmlformats.org/officeDocument/2006/relationships/hyperlink" Target="https://www.sciencelearn.org.nz/resources/1989-cell-biology-and-genetics" TargetMode="External"/><Relationship Id="rId33" Type="http://schemas.openxmlformats.org/officeDocument/2006/relationships/hyperlink" Target="https://www.sciencelearn.org.nz/resources/2650-myrtle-rust" TargetMode="External"/><Relationship Id="rId38" Type="http://schemas.openxmlformats.org/officeDocument/2006/relationships/hyperlink" Target="https://www.sciencelearn.org.nz/resources/3253-rnai-te-ao-maori-considerations" TargetMode="External"/><Relationship Id="rId46" Type="http://schemas.openxmlformats.org/officeDocument/2006/relationships/hyperlink" Target="https://www.pmcsa.ac.nz/topics/gene-editin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www.sciencelearn.org.nz/resources/2453-fighting-a-little-bee-mite" TargetMode="External"/><Relationship Id="rId41" Type="http://schemas.openxmlformats.org/officeDocument/2006/relationships/hyperlink" Target="https://environment.govt.nz/publications/genetic-modification-the-new-zealand-approa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resources/2566-using-concept-cartoons" TargetMode="External"/><Relationship Id="rId24" Type="http://schemas.openxmlformats.org/officeDocument/2006/relationships/hyperlink" Target="https://www.sciencelearn.org.nz/resources/1901-proteins-what-they-are-and-how-they-re-made" TargetMode="External"/><Relationship Id="rId32" Type="http://schemas.openxmlformats.org/officeDocument/2006/relationships/hyperlink" Target="https://www.sciencelearn.org.nz/resources/3252-using-rnai-to-combat-myrtle-rust" TargetMode="External"/><Relationship Id="rId37" Type="http://schemas.openxmlformats.org/officeDocument/2006/relationships/hyperlink" Target="https://www.uq.edu.au/news/article/2022/12/scientists-tackle-rusty-plant-threat" TargetMode="External"/><Relationship Id="rId40" Type="http://schemas.openxmlformats.org/officeDocument/2006/relationships/hyperlink" Target="https://www.sciencelearn.org.nz/resources/3080-tame-malcolm-indigenous-pest-management" TargetMode="External"/><Relationship Id="rId45" Type="http://schemas.openxmlformats.org/officeDocument/2006/relationships/hyperlink" Target="https://bioheritage.nz/research/public-perceptions-of-new-pest-control-method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sciencelearn.org.nz/resources/206-dna-chromosomes-and-gene-expression" TargetMode="External"/><Relationship Id="rId28" Type="http://schemas.openxmlformats.org/officeDocument/2006/relationships/hyperlink" Target="https://www.sciencelearn.org.nz/resources/83-honey-bee-heroes" TargetMode="External"/><Relationship Id="rId36" Type="http://schemas.openxmlformats.org/officeDocument/2006/relationships/hyperlink" Target="https://bioheritage.nz/topic/myrtle-ora/" TargetMode="External"/><Relationship Id="rId49" Type="http://schemas.openxmlformats.org/officeDocument/2006/relationships/hyperlink" Target="https://www.royalsociety.org.nz/what-we-do/our-expert-advice/all-expert-advice-papers/gene-editing-for-pest-control/" TargetMode="External"/><Relationship Id="rId10" Type="http://schemas.openxmlformats.org/officeDocument/2006/relationships/hyperlink" Target="https://www.sciencelearn.org.nz/resources/3252-using-rnai-to-combat-myrtle-rust" TargetMode="External"/><Relationship Id="rId19" Type="http://schemas.openxmlformats.org/officeDocument/2006/relationships/footer" Target="footer2.xml"/><Relationship Id="rId31" Type="http://schemas.openxmlformats.org/officeDocument/2006/relationships/hyperlink" Target="https://www.uaex.uada.edu/farm-ranch/special-programs/beekeeping/uabeeblog/posts/varroaRNAi.aspx" TargetMode="External"/><Relationship Id="rId44" Type="http://schemas.openxmlformats.org/officeDocument/2006/relationships/hyperlink" Target="https://www.plantandfood.com/en-nz/our-views-on-genetic-modificat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ncelearn.org.nz/resources/3251-using-rnai-to-control-varroa-mites" TargetMode="External"/><Relationship Id="rId14" Type="http://schemas.openxmlformats.org/officeDocument/2006/relationships/header" Target="header1.xml"/><Relationship Id="rId22" Type="http://schemas.openxmlformats.org/officeDocument/2006/relationships/hyperlink" Target="https://www.sciencelearn.org.nz/resources/3250-rna-interference-key-terms" TargetMode="External"/><Relationship Id="rId27" Type="http://schemas.openxmlformats.org/officeDocument/2006/relationships/hyperlink" Target="https://www.sciencelearn.org.nz/resources/3251-using-rnai-to-control-varroa-mites" TargetMode="External"/><Relationship Id="rId30" Type="http://schemas.openxmlformats.org/officeDocument/2006/relationships/hyperlink" Target="https://greenlightbiosciences.com/protecting-honeybees-from-the-varroa-destructor-mite/" TargetMode="External"/><Relationship Id="rId35" Type="http://schemas.openxmlformats.org/officeDocument/2006/relationships/hyperlink" Target="https://bioheritage.nz/topic/kauri-ora/" TargetMode="External"/><Relationship Id="rId43" Type="http://schemas.openxmlformats.org/officeDocument/2006/relationships/hyperlink" Target="https://environment.govt.nz/publications/report-of-the-royal-commission-on-genetic-modification/" TargetMode="External"/><Relationship Id="rId48" Type="http://schemas.openxmlformats.org/officeDocument/2006/relationships/hyperlink" Target="https://www.royalsociety.org.nz/major-issues-and-projects/gene-editing-in-aotearoa/gene-editing-reflections-from-the-panel-co-chairs/" TargetMode="External"/><Relationship Id="rId8" Type="http://schemas.openxmlformats.org/officeDocument/2006/relationships/hyperlink" Target="https://www.sciencelearn.org.nz/resources/3258-rna-interference" TargetMode="Externa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x3sRGPYYxwbbHSDNpyptYb5VA==">CgMxLjAyCWlkLmdqZGd4czIJaC4zMGowemxsMgppZC4xZm9iOXRlMgloLjN6bnlzaDcyDmgubnVqeWN5ZjczdWVvMgppZC4yZXQ5MnAwMglpZC50eWpjd3QyCmlkLjNkeTZ2a20yCmlkLjF0M2g1c2YyCmlkLjRkMzRvZzgyCWguMnM4ZXlvMTIKaWQuMTdkcDh2dTIKaWQuM3JkY3JqbjIKaWQuMjZpbjFyZzIIaC5sbnhiejk4AGpGCjZzdWdnZXN0SWRJbXBvcnQyOWNlYTZiYi1lYjY4LTRiYzUtYmZmNC04YmU0MDMwNWVjNjNfMzgSDE1hcnkgQmVubmV0dGpFCjVzdWdnZXN0SWRJbXBvcnQyOWNlYTZiYi1lYjY4LTRiYzUtYmZmNC04YmU0MDMwNWVjNjNfNRIMTWFyeSBCZW5uZXR0akYKNnN1Z2dlc3RJZEltcG9ydDI5Y2VhNmJiLWViNjgtNGJjNS1iZmY0LThiZTQwMzA1ZWM2M18xOBIMTWFyeSBCZW5uZXR0akYKNnN1Z2dlc3RJZEltcG9ydDI5Y2VhNmJiLWViNjgtNGJjNS1iZmY0LThiZTQwMzA1ZWM2M18zMhIMTWFyeSBCZW5uZXR0akYKNnN1Z2dlc3RJZEltcG9ydDI5Y2VhNmJiLWViNjgtNGJjNS1iZmY0LThiZTQwMzA1ZWM2M18yNxIMTWFyeSBCZW5uZXR0akYKNnN1Z2dlc3RJZEltcG9ydDI5Y2VhNmJiLWViNjgtNGJjNS1iZmY0LThiZTQwMzA1ZWM2M18xMRIMTWFyeSBCZW5uZXR0akUKNXN1Z2dlc3RJZEltcG9ydDI5Y2VhNmJiLWViNjgtNGJjNS1iZmY0LThiZTQwMzA1ZWM2M184EgxNYXJ5IEJlbm5ldHRqRgo2c3VnZ2VzdElkSW1wb3J0MjljZWE2YmItZWI2OC00YmM1LWJmZjQtOGJlNDAzMDVlYzYzXzI5EgxNYXJ5IEJlbm5ldHRqRgo2c3VnZ2VzdElkSW1wb3J0MjljZWE2YmItZWI2OC00YmM1LWJmZjQtOGJlNDAzMDVlYzYzXzE2EgxNYXJ5IEJlbm5ldHRqRQo1c3VnZ2VzdElkSW1wb3J0MjljZWE2YmItZWI2OC00YmM1LWJmZjQtOGJlNDAzMDVlYzYzXzISDE1hcnkgQmVubmV0dGpGCjZzdWdnZXN0SWRJbXBvcnQyOWNlYTZiYi1lYjY4LTRiYzUtYmZmNC04YmU0MDMwNWVjNjNfMjUSDE1hcnkgQmVubmV0dGpGCjZzdWdnZXN0SWRJbXBvcnQyOWNlYTZiYi1lYjY4LTRiYzUtYmZmNC04YmU0MDMwNWVjNjNfMzMSDE1hcnkgQmVubmV0dGpGCjZzdWdnZXN0SWRJbXBvcnQyOWNlYTZiYi1lYjY4LTRiYzUtYmZmNC04YmU0MDMwNWVjNjNfMTMSDE1hcnkgQmVubmV0dGpGCjZzdWdnZXN0SWRJbXBvcnQyOWNlYTZiYi1lYjY4LTRiYzUtYmZmNC04YmU0MDMwNWVjNjNfMzcSDE1hcnkgQmVubmV0dGpGCjZzdWdnZXN0SWRJbXBvcnQyOWNlYTZiYi1lYjY4LTRiYzUtYmZmNC04YmU0MDMwNWVjNjNfMzUSDE1hcnkgQmVubmV0dGpFCjVzdWdnZXN0SWRJbXBvcnQyOWNlYTZiYi1lYjY4LTRiYzUtYmZmNC04YmU0MDMwNWVjNjNfNxIMTWFyeSBCZW5uZXR0akYKNnN1Z2dlc3RJZEltcG9ydDI5Y2VhNmJiLWViNjgtNGJjNS1iZmY0LThiZTQwMzA1ZWM2M18zNhIMTWFyeSBCZW5uZXR0akYKNnN1Z2dlc3RJZEltcG9ydDI5Y2VhNmJiLWViNjgtNGJjNS1iZmY0LThiZTQwMzA1ZWM2M18xNRIMTWFyeSBCZW5uZXR0akYKNnN1Z2dlc3RJZEltcG9ydDI5Y2VhNmJiLWViNjgtNGJjNS1iZmY0LThiZTQwMzA1ZWM2M18xMBIMTWFyeSBCZW5uZXR0akUKNXN1Z2dlc3RJZEltcG9ydDI5Y2VhNmJiLWViNjgtNGJjNS1iZmY0LThiZTQwMzA1ZWM2M185EgxNYXJ5IEJlbm5ldHRqRgo2c3VnZ2VzdElkSW1wb3J0MjljZWE2YmItZWI2OC00YmM1LWJmZjQtOGJlNDAzMDVlYzYzXzEyEgxNYXJ5IEJlbm5ldHRqRgo2c3VnZ2VzdElkSW1wb3J0MjljZWE2YmItZWI2OC00YmM1LWJmZjQtOGJlNDAzMDVlYzYzXzMxEgxNYXJ5IEJlbm5ldHRqRgo2c3VnZ2VzdElkSW1wb3J0MjljZWE2YmItZWI2OC00YmM1LWJmZjQtOGJlNDAzMDVlYzYzXzM5EgxNYXJ5IEJlbm5ldHRqRgo2c3VnZ2VzdElkSW1wb3J0MjljZWE2YmItZWI2OC00YmM1LWJmZjQtOGJlNDAzMDVlYzYzXzQwEgxNYXJ5IEJlbm5ldHRqRgo2c3VnZ2VzdElkSW1wb3J0MjljZWE2YmItZWI2OC00YmM1LWJmZjQtOGJlNDAzMDVlYzYzXzQxEgxNYXJ5IEJlbm5ldHRqRgo2c3VnZ2VzdElkSW1wb3J0MjljZWE2YmItZWI2OC00YmM1LWJmZjQtOGJlNDAzMDVlYzYzXzIwEgxNYXJ5IEJlbm5ldHRqRgo2c3VnZ2VzdElkSW1wb3J0MjljZWE2YmItZWI2OC00YmM1LWJmZjQtOGJlNDAzMDVlYzYzXzMwEgxNYXJ5IEJlbm5ldHRqRgo2c3VnZ2VzdElkSW1wb3J0MjljZWE2YmItZWI2OC00YmM1LWJmZjQtOGJlNDAzMDVlYzYzXzE5EgxNYXJ5IEJlbm5ldHRqRgo2c3VnZ2VzdElkSW1wb3J0MjljZWE2YmItZWI2OC00YmM1LWJmZjQtOGJlNDAzMDVlYzYzXzM0EgxNYXJ5IEJlbm5ldHRqRgo2c3VnZ2VzdElkSW1wb3J0MjljZWE2YmItZWI2OC00YmM1LWJmZjQtOGJlNDAzMDVlYzYzXzIyEgxNYXJ5IEJlbm5ldHRqRQo1c3VnZ2VzdElkSW1wb3J0MjljZWE2YmItZWI2OC00YmM1LWJmZjQtOGJlNDAzMDVlYzYzXzQSDE1hcnkgQmVubmV0dGpFCjVzdWdnZXN0SWRJbXBvcnQyOWNlYTZiYi1lYjY4LTRiYzUtYmZmNC04YmU0MDMwNWVjNjNfNhIMTWFyeSBCZW5uZXR0akUKNXN1Z2dlc3RJZEltcG9ydDI5Y2VhNmJiLWViNjgtNGJjNS1iZmY0LThiZTQwMzA1ZWM2M18zEgxNYXJ5IEJlbm5ldHRqRQo1c3VnZ2VzdElkSW1wb3J0MjljZWE2YmItZWI2OC00YmM1LWJmZjQtOGJlNDAzMDVlYzYzXzESDE1hcnkgQmVubmV0dGpGCjZzdWdnZXN0SWRJbXBvcnQyOWNlYTZiYi1lYjY4LTRiYzUtYmZmNC04YmU0MDMwNWVjNjNfMjMSDE1hcnkgQmVubmV0dGpGCjZzdWdnZXN0SWRJbXBvcnQyOWNlYTZiYi1lYjY4LTRiYzUtYmZmNC04YmU0MDMwNWVjNjNfMTQSDE1hcnkgQmVubmV0dHIhMVNCQ0FUV1lXNDJ6ZmllclJHUXN4dmZYRW4wREpNT2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2256</Words>
  <Characters>12862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RNAi – making science-informed responses</vt:lpstr>
    </vt:vector>
  </TitlesOfParts>
  <Company/>
  <LinksUpToDate>false</LinksUpToDate>
  <CharactersWithSpaces>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RNAi – making science-informed responses</dc:title>
  <dc:creator>Science Learning Hub – Pokapū Akoranga Pūtaiao, The University of Waikato Te Whare Wānanga o Waikato</dc:creator>
  <cp:lastModifiedBy>Angela Schipper</cp:lastModifiedBy>
  <cp:revision>6</cp:revision>
  <dcterms:created xsi:type="dcterms:W3CDTF">2023-07-26T02:50:00Z</dcterms:created>
  <dcterms:modified xsi:type="dcterms:W3CDTF">2023-09-11T00:14:00Z</dcterms:modified>
</cp:coreProperties>
</file>